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安全运维设备询价文件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1876270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086AD963">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1250"/>
        <w:gridCol w:w="960"/>
        <w:gridCol w:w="2774"/>
        <w:gridCol w:w="1196"/>
        <w:gridCol w:w="1220"/>
        <w:gridCol w:w="2746"/>
        <w:gridCol w:w="943"/>
        <w:gridCol w:w="1070"/>
        <w:gridCol w:w="941"/>
      </w:tblGrid>
      <w:tr w14:paraId="5328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040" w:type="dxa"/>
            <w:gridSpan w:val="10"/>
            <w:tcBorders>
              <w:top w:val="nil"/>
              <w:left w:val="nil"/>
              <w:bottom w:val="nil"/>
              <w:right w:val="nil"/>
            </w:tcBorders>
            <w:shd w:val="clear" w:color="auto" w:fill="auto"/>
            <w:vAlign w:val="center"/>
          </w:tcPr>
          <w:p w14:paraId="1407C4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2DB7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2B0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8AE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E4C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0FBE63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78C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D8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B2E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63B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B808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81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3C4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803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7D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064D7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C65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508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FA2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3CA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7EBB82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EFE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FD6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A8D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160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89BC3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C34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B7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6A1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F17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283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6EA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A87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1FD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18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310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070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E0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90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0A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2F4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0D5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4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E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8F3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0CE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FBA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6F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安全运维设备（桌面云服务端要求）</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71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硬件规格</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08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★CPU须满足“中国信息安全测评中心发布的安全可靠测评结果公告”或具有CNAS或CMA认证的检测机构出具的第三方检测报告证明（提供相关证明材料并加盖投标人电子签章，未提供作负偏离处理）</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4325E6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40" w:type="dxa"/>
            <w:vMerge w:val="restart"/>
            <w:tcBorders>
              <w:top w:val="single" w:color="000000" w:sz="4" w:space="0"/>
              <w:left w:val="single" w:color="000000" w:sz="4" w:space="0"/>
              <w:bottom w:val="nil"/>
              <w:right w:val="single" w:color="000000" w:sz="4" w:space="0"/>
            </w:tcBorders>
            <w:shd w:val="clear" w:color="auto" w:fill="auto"/>
            <w:vAlign w:val="center"/>
          </w:tcPr>
          <w:p w14:paraId="2EC79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5" w:type="dxa"/>
            <w:vMerge w:val="restart"/>
            <w:tcBorders>
              <w:top w:val="nil"/>
              <w:left w:val="nil"/>
              <w:bottom w:val="nil"/>
              <w:right w:val="nil"/>
            </w:tcBorders>
            <w:shd w:val="clear" w:color="auto" w:fill="auto"/>
            <w:vAlign w:val="center"/>
          </w:tcPr>
          <w:p w14:paraId="55356F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深信服，VDS-G-H565/信云VDI授权（C86）/aDesk-STD-200H-s(HDMI)</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C58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417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14:paraId="403628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B7C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A1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C67A6">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3D6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A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CPU颗数≥2，每颗CPU核心数≥16核，每颗CPU主频≥2.9GHz</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8B86E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595863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0BB09D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89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A07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58B595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59D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38A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BD88">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5C484">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3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系统盘≥2*2400G SSD</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0D6FF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2316A0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612B5B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DD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2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4C0692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40C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D4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E9733">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2CA87">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A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内存≥12*32GB DDR4 3200</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B667D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54841C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1E26D8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CA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26D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5148CC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2C4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05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4D9F">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37B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F7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缓存盘≥2*960G SSD，数据盘≥4*6T，标配盘位数≥12，冗余电源，接口≥4千兆电口+2万兆光口，配齐光模块。</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736D5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1BD483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279495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F83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A9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676AE2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404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5D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EE7B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414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虚拟化功能</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E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支持SSD缓存加速，采用SSD+HDD混合模式，SSD用于缓存热点数据，HDD用于存储个人数据，SSD缓存命中率不低于60%。</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14D57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6D6526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5532F0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E10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B2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6207B2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4CB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EA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0B2F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7472">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1F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支持集群冗余技术，当硬盘故障时，自动触发虚机迁移动作，能够实现毫秒级切换；主机或者网络故障，虚拟桌面可以快速切换到另一台服务器拉起，时长不超过5分钟。</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8AFDE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78431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5CD1BC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BF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AF6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1A4C0D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E21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0B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C5122">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2803">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D1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支持虚拟机集中备份与恢复，可按需选择多个虚拟机或全部虚拟机备份至外置服务器（NAS、FTP、CIFS等），支持设置备份策略，支持全自动化备份。</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8D18C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4F3E8E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5CE216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3F3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F9D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4824BB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BAC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E5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4BB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3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A9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提供五年质保，硬盘维修不返还。</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D5097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59776A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3A657E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C1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8A9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379FD7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E75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F9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BA8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安全运维设备（桌面云接入授权软件要求）</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62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基本要求</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8F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★提供至少20个VDI用户授权，支持发布专有桌面、还原桌面（包括池化桌面）、共享桌面、远程应用至少5种桌面资源，满足不同场景的应用需求。</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8D14F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4A0188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463455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CB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5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3D99D5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DCD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9F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A6FA">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2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进程加速功能</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3E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在多应用办公场景下，可针对当下使用频率较高的软件做进程加速，管理员也可自定义需做进程加速应用。</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4F8DA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516D9F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37CBE9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2EE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22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0BA1A4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C2C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9A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6DB67">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AB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管理运维功能</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4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产品需支持模板升级，可以提供模板统一安装所需要升级的软件/补丁，一键更新到指定的虚拟机，满足标准化场景的软件和补丁更新需求，并不影响非c盘目录下个人数据。并可以设置虚拟机下次重启更新至模版状态，不影响当下使用。</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ED20B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5C6178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5CB967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C07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4EC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5F159A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8DF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1B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DDF8D">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C4745">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CB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支持自助快照恢复，当用户误操作导致云桌面卡慢、蓝屏、死机或者中病毒的时候，用户通过导航条按钮，可以自助进行系统盘快照还原操作。</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D822A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7B767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431C7E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A6A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7D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67C9BF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1FC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6B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98C0C">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0D76">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6A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支持设置用户登录后超过一段时间无桌面/应用会话或一定时间内没有对虚拟机操作时用户自动注销，同时释放桌面资源。</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CE454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6FC70E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0106DA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91A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861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66BE66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0A7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BB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7FA2">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BD8D">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D8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虚拟机扩容和减配识别，由于用户实际业务的复杂性，每个用户对虚拟机的性能需求有差异，为了更好地平衡体验和资源利用效率，监控平台需要能够智能识别虚拟机是否需要扩容以满足用户体验，还需要识别哪些虚拟机性能过剩，建议管理员做智能降配，以达到主机资源最大利用率。</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5614B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5BC48B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3586E7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1FC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DD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10D0D2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92C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268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B262">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C18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高可靠及安全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EF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为了保证高可靠，桌面云接入管理平台需支持集群模式，在不增加第三方负载均衡的情况下，可实现桌面云控制器宕机切换会话不中断。</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8E2C5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09E736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198C47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3F9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51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03CF0B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BB9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03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6039">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5859">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CF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内置防火墙，包括设置过滤规则、NAT设置、访问监控、防DOS攻击。</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0BA78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50C61D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2F4D8F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DCA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580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7E87F9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CD3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26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B668">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252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EE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支持文件导出内容审计，开启文件安全导出后，虚拟机通过剪切板、PC设备和USB设备外发文件的操作将被禁止，用户可以使用虚拟机内部的文件导出工具实现文件外发，可疑的导出行为会产生告警。</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57E17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32E146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09F306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2D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CC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77A8FB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56D9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66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DB3CD">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3F0A">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D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支持多种认证方式随需组合，包括本地账号密码、usb-key认证、短信认证、硬件特征绑定、动态口令、ldap认证、raduis认证、AD域认证、瘦终端客户机认证、802.1x等多种方式，满足不同级别用户的安全接入需求。</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CED0D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54F2AC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237DB4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872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81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1D5A77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5C0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43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22A53">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03DD">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4A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支持录屏审计，提供用户的所有桌面操作行为审计（录像），帮助管理人员查看内部操作人员是否符合操作规范性，以及既定的规则要求，适用于对敏感岗位进行责任认定和授权管理。</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E00DE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0F18BB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7EB70B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9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E7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1C12B2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DED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30C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4203C">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8908">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B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支持个人盘加密技术，对云桌面个人数据进行加密保存，保障个人隐私安全。</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0F88E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1F5BAA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7451CB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61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55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5A156D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D1A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B43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2FB07">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A91F">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5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为满足用户的业务使用需求，所投产品需支持临时权限，管理员为部分用户临时在某个时间段内放通usb和pc剪切板等权限，并在到期后自动回收该权限，保证数据安全。</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4317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7A9528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07C005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F2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91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5CF684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C3E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EF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FEB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安全运维设备（桌面云瘦终端要求）</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6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产品参数</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2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★至少配备 20 台桌面云瘦终端，与桌面云服务端、桌面云接入授权软件需配套兼容。</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31769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6DD891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228B47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4BC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12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5BC4DD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C95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FC7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AE212">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54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硬件规格</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7A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CPU≥双核1.6Ghz、内存≥1G、存储≥4G、USB≥6个。</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2CB9F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06277A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0E16E2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20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CA2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3B4633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080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9A3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E647B">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5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管理运维</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8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在瘦终端的管理方面，需支持分组管理、批量移动、删除、关闭瘦终端，支持配置定时开关机计划及加电自启动功能，支持自定义开机画面、配置自动登录和保存密码。</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7A393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1CD655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vMerge w:val="continue"/>
            <w:tcBorders>
              <w:top w:val="nil"/>
              <w:left w:val="nil"/>
              <w:bottom w:val="nil"/>
              <w:right w:val="nil"/>
            </w:tcBorders>
            <w:shd w:val="clear" w:color="auto" w:fill="auto"/>
            <w:vAlign w:val="center"/>
          </w:tcPr>
          <w:p w14:paraId="40256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250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D6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0086ED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0AC9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72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2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E73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65" name="Text_Box_5"/>
                  <wp:cNvGraphicFramePr/>
                  <a:graphic xmlns:a="http://schemas.openxmlformats.org/drawingml/2006/main">
                    <a:graphicData uri="http://schemas.openxmlformats.org/drawingml/2006/picture">
                      <pic:pic xmlns:pic="http://schemas.openxmlformats.org/drawingml/2006/picture">
                        <pic:nvPicPr>
                          <pic:cNvPr id="65"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51" name="Text_Box_9"/>
                  <wp:cNvGraphicFramePr/>
                  <a:graphic xmlns:a="http://schemas.openxmlformats.org/drawingml/2006/main">
                    <a:graphicData uri="http://schemas.openxmlformats.org/drawingml/2006/picture">
                      <pic:pic xmlns:pic="http://schemas.openxmlformats.org/drawingml/2006/picture">
                        <pic:nvPicPr>
                          <pic:cNvPr id="51"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58" name="Text_Box_5_SpCnt_1"/>
                  <wp:cNvGraphicFramePr/>
                  <a:graphic xmlns:a="http://schemas.openxmlformats.org/drawingml/2006/main">
                    <a:graphicData uri="http://schemas.openxmlformats.org/drawingml/2006/picture">
                      <pic:pic xmlns:pic="http://schemas.openxmlformats.org/drawingml/2006/picture">
                        <pic:nvPicPr>
                          <pic:cNvPr id="58"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68" name="Text_Box_9_SpCnt_1"/>
                  <wp:cNvGraphicFramePr/>
                  <a:graphic xmlns:a="http://schemas.openxmlformats.org/drawingml/2006/main">
                    <a:graphicData uri="http://schemas.openxmlformats.org/drawingml/2006/picture">
                      <pic:pic xmlns:pic="http://schemas.openxmlformats.org/drawingml/2006/picture">
                        <pic:nvPicPr>
                          <pic:cNvPr id="68"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61" name="Text_Box_12"/>
                  <wp:cNvGraphicFramePr/>
                  <a:graphic xmlns:a="http://schemas.openxmlformats.org/drawingml/2006/main">
                    <a:graphicData uri="http://schemas.openxmlformats.org/drawingml/2006/picture">
                      <pic:pic xmlns:pic="http://schemas.openxmlformats.org/drawingml/2006/picture">
                        <pic:nvPicPr>
                          <pic:cNvPr id="61"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52" name="Text_Box_10"/>
                  <wp:cNvGraphicFramePr/>
                  <a:graphic xmlns:a="http://schemas.openxmlformats.org/drawingml/2006/main">
                    <a:graphicData uri="http://schemas.openxmlformats.org/drawingml/2006/picture">
                      <pic:pic xmlns:pic="http://schemas.openxmlformats.org/drawingml/2006/picture">
                        <pic:nvPicPr>
                          <pic:cNvPr id="52"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64" name="Text_Box_9_SpCnt_2"/>
                  <wp:cNvGraphicFramePr/>
                  <a:graphic xmlns:a="http://schemas.openxmlformats.org/drawingml/2006/main">
                    <a:graphicData uri="http://schemas.openxmlformats.org/drawingml/2006/picture">
                      <pic:pic xmlns:pic="http://schemas.openxmlformats.org/drawingml/2006/picture">
                        <pic:nvPicPr>
                          <pic:cNvPr id="64"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67" name="Text_Box_7"/>
                  <wp:cNvGraphicFramePr/>
                  <a:graphic xmlns:a="http://schemas.openxmlformats.org/drawingml/2006/main">
                    <a:graphicData uri="http://schemas.openxmlformats.org/drawingml/2006/picture">
                      <pic:pic xmlns:pic="http://schemas.openxmlformats.org/drawingml/2006/picture">
                        <pic:nvPicPr>
                          <pic:cNvPr id="67"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53" name="Text_Box_5_SpCnt_2"/>
                  <wp:cNvGraphicFramePr/>
                  <a:graphic xmlns:a="http://schemas.openxmlformats.org/drawingml/2006/main">
                    <a:graphicData uri="http://schemas.openxmlformats.org/drawingml/2006/picture">
                      <pic:pic xmlns:pic="http://schemas.openxmlformats.org/drawingml/2006/picture">
                        <pic:nvPicPr>
                          <pic:cNvPr id="53"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56" name="Text_Box_14"/>
                  <wp:cNvGraphicFramePr/>
                  <a:graphic xmlns:a="http://schemas.openxmlformats.org/drawingml/2006/main">
                    <a:graphicData uri="http://schemas.openxmlformats.org/drawingml/2006/picture">
                      <pic:pic xmlns:pic="http://schemas.openxmlformats.org/drawingml/2006/picture">
                        <pic:nvPicPr>
                          <pic:cNvPr id="56"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59" name="Text_Box_12_SpCnt_1"/>
                  <wp:cNvGraphicFramePr/>
                  <a:graphic xmlns:a="http://schemas.openxmlformats.org/drawingml/2006/main">
                    <a:graphicData uri="http://schemas.openxmlformats.org/drawingml/2006/picture">
                      <pic:pic xmlns:pic="http://schemas.openxmlformats.org/drawingml/2006/picture">
                        <pic:nvPicPr>
                          <pic:cNvPr id="59"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50" name="Text_Box_7_SpCnt_1"/>
                  <wp:cNvGraphicFramePr/>
                  <a:graphic xmlns:a="http://schemas.openxmlformats.org/drawingml/2006/main">
                    <a:graphicData uri="http://schemas.openxmlformats.org/drawingml/2006/picture">
                      <pic:pic xmlns:pic="http://schemas.openxmlformats.org/drawingml/2006/picture">
                        <pic:nvPicPr>
                          <pic:cNvPr id="50"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62" name="Text_Box_10_SpCnt_1"/>
                  <wp:cNvGraphicFramePr/>
                  <a:graphic xmlns:a="http://schemas.openxmlformats.org/drawingml/2006/main">
                    <a:graphicData uri="http://schemas.openxmlformats.org/drawingml/2006/picture">
                      <pic:pic xmlns:pic="http://schemas.openxmlformats.org/drawingml/2006/picture">
                        <pic:nvPicPr>
                          <pic:cNvPr id="62"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49" name="Text_Box_5_SpCnt_3"/>
                  <wp:cNvGraphicFramePr/>
                  <a:graphic xmlns:a="http://schemas.openxmlformats.org/drawingml/2006/main">
                    <a:graphicData uri="http://schemas.openxmlformats.org/drawingml/2006/picture">
                      <pic:pic xmlns:pic="http://schemas.openxmlformats.org/drawingml/2006/picture">
                        <pic:nvPicPr>
                          <pic:cNvPr id="49"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66" name="Text_Box_14_SpCnt_1"/>
                  <wp:cNvGraphicFramePr/>
                  <a:graphic xmlns:a="http://schemas.openxmlformats.org/drawingml/2006/main">
                    <a:graphicData uri="http://schemas.openxmlformats.org/drawingml/2006/picture">
                      <pic:pic xmlns:pic="http://schemas.openxmlformats.org/drawingml/2006/picture">
                        <pic:nvPicPr>
                          <pic:cNvPr id="66"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69" name="Text_Box_12_SpCnt_2"/>
                  <wp:cNvGraphicFramePr/>
                  <a:graphic xmlns:a="http://schemas.openxmlformats.org/drawingml/2006/main">
                    <a:graphicData uri="http://schemas.openxmlformats.org/drawingml/2006/picture">
                      <pic:pic xmlns:pic="http://schemas.openxmlformats.org/drawingml/2006/picture">
                        <pic:nvPicPr>
                          <pic:cNvPr id="69"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54" name="Text_Box_10_SpCnt_2"/>
                  <wp:cNvGraphicFramePr/>
                  <a:graphic xmlns:a="http://schemas.openxmlformats.org/drawingml/2006/main">
                    <a:graphicData uri="http://schemas.openxmlformats.org/drawingml/2006/picture">
                      <pic:pic xmlns:pic="http://schemas.openxmlformats.org/drawingml/2006/picture">
                        <pic:nvPicPr>
                          <pic:cNvPr id="54"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60" name="Text_Box_9_SpCnt_3"/>
                  <wp:cNvGraphicFramePr/>
                  <a:graphic xmlns:a="http://schemas.openxmlformats.org/drawingml/2006/main">
                    <a:graphicData uri="http://schemas.openxmlformats.org/drawingml/2006/picture">
                      <pic:pic xmlns:pic="http://schemas.openxmlformats.org/drawingml/2006/picture">
                        <pic:nvPicPr>
                          <pic:cNvPr id="60"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57" name="Text_Box_14_SpCnt_2"/>
                  <wp:cNvGraphicFramePr/>
                  <a:graphic xmlns:a="http://schemas.openxmlformats.org/drawingml/2006/main">
                    <a:graphicData uri="http://schemas.openxmlformats.org/drawingml/2006/picture">
                      <pic:pic xmlns:pic="http://schemas.openxmlformats.org/drawingml/2006/picture">
                        <pic:nvPicPr>
                          <pic:cNvPr id="57"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70" name="Text_Box_7_SpCnt_2"/>
                  <wp:cNvGraphicFramePr/>
                  <a:graphic xmlns:a="http://schemas.openxmlformats.org/drawingml/2006/main">
                    <a:graphicData uri="http://schemas.openxmlformats.org/drawingml/2006/picture">
                      <pic:pic xmlns:pic="http://schemas.openxmlformats.org/drawingml/2006/picture">
                        <pic:nvPicPr>
                          <pic:cNvPr id="70"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71" name="Text_Box_12_SpCnt_3"/>
                  <wp:cNvGraphicFramePr/>
                  <a:graphic xmlns:a="http://schemas.openxmlformats.org/drawingml/2006/main">
                    <a:graphicData uri="http://schemas.openxmlformats.org/drawingml/2006/picture">
                      <pic:pic xmlns:pic="http://schemas.openxmlformats.org/drawingml/2006/picture">
                        <pic:nvPicPr>
                          <pic:cNvPr id="71"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63" name="Text_Box_7_SpCnt_3"/>
                  <wp:cNvGraphicFramePr/>
                  <a:graphic xmlns:a="http://schemas.openxmlformats.org/drawingml/2006/main">
                    <a:graphicData uri="http://schemas.openxmlformats.org/drawingml/2006/picture">
                      <pic:pic xmlns:pic="http://schemas.openxmlformats.org/drawingml/2006/picture">
                        <pic:nvPicPr>
                          <pic:cNvPr id="6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5391150</wp:posOffset>
                  </wp:positionH>
                  <wp:positionV relativeFrom="paragraph">
                    <wp:posOffset>0</wp:posOffset>
                  </wp:positionV>
                  <wp:extent cx="152400" cy="161925"/>
                  <wp:effectExtent l="0" t="0" r="0" b="0"/>
                  <wp:wrapNone/>
                  <wp:docPr id="55" name="Text_Box_10_SpCnt_3"/>
                  <wp:cNvGraphicFramePr/>
                  <a:graphic xmlns:a="http://schemas.openxmlformats.org/drawingml/2006/main">
                    <a:graphicData uri="http://schemas.openxmlformats.org/drawingml/2006/picture">
                      <pic:pic xmlns:pic="http://schemas.openxmlformats.org/drawingml/2006/picture">
                        <pic:nvPicPr>
                          <pic:cNvPr id="55"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03BF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0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339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w:t>
            </w:r>
            <w:r>
              <w:rPr>
                <w:rFonts w:hint="eastAsia" w:ascii="宋体" w:hAnsi="宋体" w:cs="宋体"/>
                <w:i w:val="0"/>
                <w:iCs w:val="0"/>
                <w:color w:val="FF0000"/>
                <w:kern w:val="0"/>
                <w:sz w:val="24"/>
                <w:szCs w:val="24"/>
                <w:u w:val="none"/>
                <w:lang w:val="en-US" w:eastAsia="zh-CN" w:bidi="ar"/>
              </w:rPr>
              <w:t>安装调试</w:t>
            </w:r>
            <w:bookmarkStart w:id="0" w:name="_GoBack"/>
            <w:bookmarkEnd w:id="0"/>
            <w:r>
              <w:rPr>
                <w:rFonts w:hint="eastAsia" w:ascii="宋体" w:hAnsi="宋体" w:eastAsia="宋体" w:cs="宋体"/>
                <w:i w:val="0"/>
                <w:iCs w:val="0"/>
                <w:color w:val="FF0000"/>
                <w:kern w:val="0"/>
                <w:sz w:val="24"/>
                <w:szCs w:val="24"/>
                <w:u w:val="none"/>
                <w:lang w:val="en-US" w:eastAsia="zh-CN" w:bidi="ar"/>
              </w:rPr>
              <w:t>以及卸货相关服务费用。</w:t>
            </w:r>
          </w:p>
        </w:tc>
      </w:tr>
      <w:tr w14:paraId="5C56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4E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D73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C26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63BF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067B5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98F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E78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5年</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90B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8BC2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782E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7CC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A8B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1E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E34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合同签订后个7日内支付40%预付款，货到验收合格后1个月内付清其余的货款</w:t>
            </w:r>
          </w:p>
        </w:tc>
      </w:tr>
    </w:tbl>
    <w:p w14:paraId="632E0F79">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1、付款条件:合同签订后个7日内支付40%预付款，货到验收合格后1个月内付清其余的货款。注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58E7D29"/>
    <w:rsid w:val="06E65ABA"/>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4F94AB5"/>
    <w:rsid w:val="157C124F"/>
    <w:rsid w:val="15B405D8"/>
    <w:rsid w:val="173B2189"/>
    <w:rsid w:val="17CE6EF3"/>
    <w:rsid w:val="1870435E"/>
    <w:rsid w:val="18B65219"/>
    <w:rsid w:val="193251CA"/>
    <w:rsid w:val="1959078F"/>
    <w:rsid w:val="1A48720E"/>
    <w:rsid w:val="1B811C42"/>
    <w:rsid w:val="1C1414B5"/>
    <w:rsid w:val="1C44694B"/>
    <w:rsid w:val="1CB642A6"/>
    <w:rsid w:val="1CBE542C"/>
    <w:rsid w:val="1E434544"/>
    <w:rsid w:val="1F444EB4"/>
    <w:rsid w:val="1F741D8C"/>
    <w:rsid w:val="1FC0011B"/>
    <w:rsid w:val="1FF000D2"/>
    <w:rsid w:val="1FF040AD"/>
    <w:rsid w:val="200C3464"/>
    <w:rsid w:val="23B60935"/>
    <w:rsid w:val="245503E6"/>
    <w:rsid w:val="24BF2D95"/>
    <w:rsid w:val="25BA7F75"/>
    <w:rsid w:val="25DE44B5"/>
    <w:rsid w:val="264801BD"/>
    <w:rsid w:val="267537D8"/>
    <w:rsid w:val="26A67AF4"/>
    <w:rsid w:val="27933CD9"/>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8544E55"/>
    <w:rsid w:val="39963E4D"/>
    <w:rsid w:val="3B0F7CBC"/>
    <w:rsid w:val="3B275F4B"/>
    <w:rsid w:val="3E015FF2"/>
    <w:rsid w:val="3E5157CB"/>
    <w:rsid w:val="40130CAF"/>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E802F1D"/>
    <w:rsid w:val="4EF042FA"/>
    <w:rsid w:val="4FAF448B"/>
    <w:rsid w:val="50417986"/>
    <w:rsid w:val="50F73FA0"/>
    <w:rsid w:val="515E18DF"/>
    <w:rsid w:val="51765D9A"/>
    <w:rsid w:val="521C7398"/>
    <w:rsid w:val="52446C35"/>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4467711"/>
    <w:rsid w:val="64E752C4"/>
    <w:rsid w:val="65F729C7"/>
    <w:rsid w:val="66934D57"/>
    <w:rsid w:val="66A27154"/>
    <w:rsid w:val="677551D7"/>
    <w:rsid w:val="69FD1FFD"/>
    <w:rsid w:val="6A2B5BCA"/>
    <w:rsid w:val="6AA75C6E"/>
    <w:rsid w:val="6BB31049"/>
    <w:rsid w:val="6BF15785"/>
    <w:rsid w:val="6CF430F2"/>
    <w:rsid w:val="6D3C0639"/>
    <w:rsid w:val="6DB96BEC"/>
    <w:rsid w:val="6F321DFD"/>
    <w:rsid w:val="6F575DD1"/>
    <w:rsid w:val="70155795"/>
    <w:rsid w:val="702E6762"/>
    <w:rsid w:val="70314EAA"/>
    <w:rsid w:val="706B3AE0"/>
    <w:rsid w:val="71270FB3"/>
    <w:rsid w:val="71E07B02"/>
    <w:rsid w:val="72C34258"/>
    <w:rsid w:val="73CE218C"/>
    <w:rsid w:val="74AA472D"/>
    <w:rsid w:val="79DA1D09"/>
    <w:rsid w:val="7A182199"/>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818</Words>
  <Characters>829</Characters>
  <Lines>0</Lines>
  <Paragraphs>0</Paragraphs>
  <TotalTime>7</TotalTime>
  <ScaleCrop>false</ScaleCrop>
  <LinksUpToDate>false</LinksUpToDate>
  <CharactersWithSpaces>1185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cp:lastModifiedBy>
  <cp:lastPrinted>2023-11-07T01:59:00Z</cp:lastPrinted>
  <dcterms:modified xsi:type="dcterms:W3CDTF">2025-03-21T01:40:20Z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F13AB32372E540C0BC47C1ABC01617CD_13</vt:lpwstr>
  </property>
  <property fmtid="{D5CDD505-2E9C-101B-9397-08002B2CF9AE}" pid="4" name="KSOTemplateDocerSaveRecord">
    <vt:lpwstr>eyJoZGlkIjoiMTdmMDNkNWQ0ZWMxNjY0YzI3ODdkN2UzOWY5OGRlNzEifQ==</vt:lpwstr>
  </property>
</Properties>
</file>