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保卫管理员申报条件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普通受教育程度：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大学专科毕业（或同等学力）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具备以下条件之一者，可申报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三级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累计从事本职业或相关职业（保安员）工作满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四级/中级工职业资格(职业技能等级)证书后，累计从事本职业或相关职业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取得符合专业对应关系的初级职称（专业技术人员职业资格）后，累计从事本职业或相关职业工作满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年。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取得本专业或相关专业的技工院校高级工班及以上毕业证书(含在读应届毕业生)。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（6）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取得经评估论证的高等职业学校、专科及以上普通高等学校本专业或相关专业的毕业证书(含在读应届毕生)。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具备以下条件之一者，可申报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技师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三级/高级工职业资格（职业技能等级）证书后，累计从事本职业或相关职业工作满5年。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取得符合专业对应关系的初级职称（专业技术人员职业资格）后，累计从事本职业或相关职业工作满5年，并在取得本职业或相关职业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三级/高级工职业资格（职业技能等级）证书后，从事本职业或相关职业工作满1年。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取得符合专业对应关系的中级职称（专业技术人员职业资格）后，累计从事本职业或相关职业工作满1年。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三级/高级工职业资格（职业技能等级）证书的高级技工学校、技师学院毕业生，累计从事本职业或相关职业工作满2年。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取得本职业或相关职业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（保安员）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三级/高级工职业资格（职业技能等级）证书满2年的技师学院预备技师班、技师班学生。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  <w:t>注释：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firstLine="840" w:firstLineChars="3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以上累计年限截至资格审核截止时间。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firstLine="840" w:firstLineChars="3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参加2023年全省统一认定考试单科未通过人员可以向报名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点申请补考，补考人员无需再次提交报名材料。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ED3D8"/>
    <w:multiLevelType w:val="singleLevel"/>
    <w:tmpl w:val="819ED3D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0784DD5"/>
    <w:multiLevelType w:val="singleLevel"/>
    <w:tmpl w:val="F0784DD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WE3NGI1YzAxY2EyMjU3ZDkxNmI2YWQ5NDFmOGEifQ=="/>
  </w:docVars>
  <w:rsids>
    <w:rsidRoot w:val="51586A8B"/>
    <w:rsid w:val="20AC7E59"/>
    <w:rsid w:val="33D46ABD"/>
    <w:rsid w:val="475D79FA"/>
    <w:rsid w:val="515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2024-03-11T01:11:00Z</dcterms:created>
  <dc:creator>期待</dc:creator>
  <cp:lastModifiedBy>March^_^</cp:lastModifiedBy>
  <dcterms:modified xsi:type="dcterms:W3CDTF">2024-03-18T08:37:13Z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599AE498CF9A42D6A85C1DBC932E9D24_11</vt:lpwstr>
  </property>
</Properties>
</file>