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室外挂箱及基础笼</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230"/>
        <w:gridCol w:w="4181"/>
        <w:gridCol w:w="442"/>
        <w:gridCol w:w="743"/>
        <w:gridCol w:w="772"/>
        <w:gridCol w:w="1656"/>
        <w:gridCol w:w="1257"/>
        <w:gridCol w:w="1271"/>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623"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623"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4"/>
                <w:szCs w:val="24"/>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46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是否满足参数要求</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金额（元）</w:t>
            </w:r>
          </w:p>
        </w:tc>
        <w:tc>
          <w:tcPr>
            <w:tcW w:w="123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合价</w:t>
            </w:r>
          </w:p>
        </w:tc>
        <w:tc>
          <w:tcPr>
            <w:tcW w:w="123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室外挂箱</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1）采用优质冷轧钢板制作，厚度1.5mm以上；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2）挂箱宽50cm*高60cm*深30cm以上，符合控制主机、网络等设备的空间；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3）箱体表面须有防雨顶，顶部为斜顶式，底部开孔采用下进线方式；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4）正门加锁，喷涂公安交警专用标记、有电危险的标记，背面预留螺丝孔且和摄像机立杆预留的挂箱法兰相匹配，侧面留有百叶窗；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5）挂箱进行脱脂、酸洗、防锈磷化后热镀锌后喷塑，颜色（与杆件颜色一致）要参照各地区主题色而定；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6）箱体内部要求:配置自动重合闸保护器（具备防雷保护）1套、导轨插座5个、接地铜条、</w:t>
            </w:r>
            <w:r>
              <w:rPr>
                <w:rStyle w:val="26"/>
                <w:lang w:val="en-US" w:eastAsia="zh-CN" w:bidi="ar"/>
              </w:rPr>
              <w:t>接线端子</w:t>
            </w:r>
            <w:r>
              <w:rPr>
                <w:rFonts w:hint="eastAsia" w:ascii="宋体" w:hAnsi="宋体" w:eastAsia="宋体" w:cs="宋体"/>
                <w:i w:val="0"/>
                <w:iCs w:val="0"/>
                <w:color w:val="000000"/>
                <w:kern w:val="0"/>
                <w:sz w:val="21"/>
                <w:szCs w:val="21"/>
                <w:u w:val="none"/>
                <w:lang w:val="en-US" w:eastAsia="zh-CN" w:bidi="ar"/>
              </w:rPr>
              <w:t>、层板、散热风扇和电源模块等；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7）顶部为斜顶式，防雨安装，底部开孔采用下进线方式；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8）防护等级:不低于IP65标准；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9）在熔断器和电源开关处应有警告标志；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10）箱体内设备的摆放位置、安装方式、接线方式、线缆敷设方式等应进行合理设计；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11）箱体应用膨胀螺栓或抱箍固定在杆上，安装牢固。</w:t>
            </w:r>
            <w:r>
              <w:rPr>
                <w:rFonts w:hint="eastAsia" w:ascii="宋体" w:hAnsi="宋体" w:eastAsia="宋体" w:cs="宋体"/>
                <w:i w:val="0"/>
                <w:iCs w:val="0"/>
                <w:color w:val="000000"/>
                <w:kern w:val="0"/>
                <w:sz w:val="21"/>
                <w:szCs w:val="21"/>
                <w:u w:val="none"/>
                <w:lang w:val="en-US" w:eastAsia="zh-CN" w:bidi="ar"/>
              </w:rPr>
              <w:br w:type="textWrapping"/>
            </w:r>
            <w:r>
              <w:rPr>
                <w:rStyle w:val="26"/>
                <w:lang w:val="en-US" w:eastAsia="zh-CN" w:bidi="ar"/>
              </w:rPr>
              <w:t>接线端子排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1）额定电压:300V；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2）额定电流:20A；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3）使用温度:-40℃ ~ +105℃；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4）耐电压:AC2000V/Min；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5）绝缘电阻:500MΩ；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6）位于机箱及灯杆的外置接线箱，必须用导轨或接线箱固定，具有防水，防盗，防潮，防漏电，防雷击等功能。</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default"/>
                <w:lang w:val="en-US" w:eastAsia="zh-CN"/>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基础笼</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500*8支*30，高1500mm</w:t>
            </w:r>
            <w:r>
              <w:rPr>
                <w:rFonts w:hint="eastAsia" w:ascii="宋体" w:hAnsi="宋体" w:cs="宋体"/>
                <w:i w:val="0"/>
                <w:iCs w:val="0"/>
                <w:color w:val="000000"/>
                <w:kern w:val="0"/>
                <w:sz w:val="24"/>
                <w:szCs w:val="24"/>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p>
        </w:tc>
        <w:tc>
          <w:tcPr>
            <w:tcW w:w="8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highlight w:val="none"/>
                <w:u w:val="none"/>
                <w:lang w:val="en-US" w:eastAsia="zh-CN" w:bidi="ar"/>
              </w:rPr>
              <w:t>注：</w:t>
            </w: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五年</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4"/>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E65ABA"/>
    <w:rsid w:val="082F30B8"/>
    <w:rsid w:val="0BC2638F"/>
    <w:rsid w:val="0BDC6B78"/>
    <w:rsid w:val="0D78696A"/>
    <w:rsid w:val="0DBF30C4"/>
    <w:rsid w:val="100159F1"/>
    <w:rsid w:val="104E486C"/>
    <w:rsid w:val="138B678C"/>
    <w:rsid w:val="15B405D8"/>
    <w:rsid w:val="193251CA"/>
    <w:rsid w:val="1B811C42"/>
    <w:rsid w:val="1F741D8C"/>
    <w:rsid w:val="1FC0011B"/>
    <w:rsid w:val="25DE44B5"/>
    <w:rsid w:val="264801BD"/>
    <w:rsid w:val="2B9E5DD1"/>
    <w:rsid w:val="2E1B2848"/>
    <w:rsid w:val="2EE60C25"/>
    <w:rsid w:val="300D6BCC"/>
    <w:rsid w:val="38945D44"/>
    <w:rsid w:val="39297DD7"/>
    <w:rsid w:val="39963E4D"/>
    <w:rsid w:val="405D45A6"/>
    <w:rsid w:val="46AE2EAA"/>
    <w:rsid w:val="48832749"/>
    <w:rsid w:val="4A0E06F8"/>
    <w:rsid w:val="4A4F315A"/>
    <w:rsid w:val="4BB038DA"/>
    <w:rsid w:val="4F8B2E95"/>
    <w:rsid w:val="50417986"/>
    <w:rsid w:val="57A86680"/>
    <w:rsid w:val="57DB3B40"/>
    <w:rsid w:val="59BE6F5A"/>
    <w:rsid w:val="5BBF6D32"/>
    <w:rsid w:val="5CA61E20"/>
    <w:rsid w:val="614F4B26"/>
    <w:rsid w:val="61852A60"/>
    <w:rsid w:val="64A92B09"/>
    <w:rsid w:val="69FD1FFD"/>
    <w:rsid w:val="6BB31049"/>
    <w:rsid w:val="6CF430F2"/>
    <w:rsid w:val="6E5C0E9F"/>
    <w:rsid w:val="6F575DD1"/>
    <w:rsid w:val="70155795"/>
    <w:rsid w:val="71E07B02"/>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toa heading"/>
    <w:basedOn w:val="1"/>
    <w:next w:val="1"/>
    <w:autoRedefine/>
    <w:qFormat/>
    <w:uiPriority w:val="0"/>
    <w:pPr>
      <w:spacing w:before="120"/>
    </w:pPr>
    <w:rPr>
      <w:rFonts w:ascii="Arial" w:hAnsi="Arial"/>
      <w:sz w:val="24"/>
    </w:r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eastAsia" w:ascii="宋体" w:hAnsi="宋体" w:eastAsia="宋体" w:cs="宋体"/>
      <w:color w:val="000000"/>
      <w:sz w:val="21"/>
      <w:szCs w:val="21"/>
      <w:u w:val="none"/>
    </w:rPr>
  </w:style>
  <w:style w:type="character" w:customStyle="1" w:styleId="25">
    <w:name w:val="font21"/>
    <w:basedOn w:val="21"/>
    <w:autoRedefine/>
    <w:qFormat/>
    <w:uiPriority w:val="0"/>
    <w:rPr>
      <w:rFonts w:hint="default" w:ascii="Times New Roman" w:hAnsi="Times New Roman" w:cs="Times New Roman"/>
      <w:color w:val="000000"/>
      <w:sz w:val="21"/>
      <w:szCs w:val="21"/>
      <w:u w:val="none"/>
    </w:rPr>
  </w:style>
  <w:style w:type="character" w:customStyle="1" w:styleId="26">
    <w:name w:val="font41"/>
    <w:basedOn w:val="21"/>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2024-02-18T07:42:19Z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9558AD1C499F41FB97896F722132F974_13</vt:lpwstr>
  </property>
</Properties>
</file>