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lang w:val="en-US" w:eastAsia="zh-CN"/>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劳务施工询价文件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p>
      <w:pPr>
        <w:pStyle w:val="9"/>
        <w:numPr>
          <w:ilvl w:val="0"/>
          <w:numId w:val="0"/>
        </w:numPr>
        <w:ind w:left="0" w:leftChars="0" w:firstLine="0" w:firstLineChars="0"/>
        <w:jc w:val="left"/>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2.4、劳务资质</w:t>
      </w:r>
    </w:p>
    <w:tbl>
      <w:tblPr>
        <w:tblStyle w:val="23"/>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2699"/>
        <w:gridCol w:w="3616"/>
        <w:gridCol w:w="741"/>
        <w:gridCol w:w="900"/>
        <w:gridCol w:w="1100"/>
        <w:gridCol w:w="1358"/>
        <w:gridCol w:w="1562"/>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84"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43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200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4630"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8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43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46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8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43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46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8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43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46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8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43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46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43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2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43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900万电子警察抓拍一体化摄像机（含网络防雷、镜头、防护罩等）</w:t>
            </w:r>
            <w:r>
              <w:rPr>
                <w:rFonts w:hint="eastAsia" w:ascii="宋体" w:hAnsi="宋体" w:cs="宋体"/>
                <w:i w:val="0"/>
                <w:iCs w:val="0"/>
                <w:color w:val="000000"/>
                <w:kern w:val="0"/>
                <w:sz w:val="22"/>
                <w:szCs w:val="22"/>
                <w:u w:val="none"/>
                <w:lang w:val="en-US" w:eastAsia="zh-CN" w:bidi="ar"/>
              </w:rPr>
              <w:t>安装</w:t>
            </w:r>
          </w:p>
        </w:tc>
        <w:tc>
          <w:tcPr>
            <w:tcW w:w="4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拆除原设备、安装调试新设备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900万不礼让行人抓拍一体化摄像机（含网络防雷、镜头、防护罩等）</w:t>
            </w:r>
            <w:r>
              <w:rPr>
                <w:rFonts w:hint="eastAsia" w:ascii="宋体" w:hAnsi="宋体" w:cs="宋体"/>
                <w:i w:val="0"/>
                <w:iCs w:val="0"/>
                <w:color w:val="000000"/>
                <w:kern w:val="0"/>
                <w:sz w:val="22"/>
                <w:szCs w:val="22"/>
                <w:u w:val="none"/>
                <w:lang w:val="en-US" w:eastAsia="zh-CN" w:bidi="ar"/>
              </w:rPr>
              <w:t>安装</w:t>
            </w:r>
          </w:p>
        </w:tc>
        <w:tc>
          <w:tcPr>
            <w:tcW w:w="4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拆除原设备、安装调试新设备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信号检测器</w:t>
            </w:r>
            <w:r>
              <w:rPr>
                <w:rFonts w:hint="eastAsia" w:ascii="宋体" w:hAnsi="宋体" w:cs="宋体"/>
                <w:i w:val="0"/>
                <w:iCs w:val="0"/>
                <w:color w:val="000000"/>
                <w:kern w:val="0"/>
                <w:sz w:val="22"/>
                <w:szCs w:val="22"/>
                <w:u w:val="none"/>
                <w:lang w:val="en-US" w:eastAsia="zh-CN" w:bidi="ar"/>
              </w:rPr>
              <w:t>安装</w:t>
            </w:r>
          </w:p>
        </w:tc>
        <w:tc>
          <w:tcPr>
            <w:tcW w:w="4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拆除原设备、安装调试新设备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LED频闪灯</w:t>
            </w:r>
            <w:r>
              <w:rPr>
                <w:rFonts w:hint="eastAsia" w:ascii="宋体" w:hAnsi="宋体" w:cs="宋体"/>
                <w:i w:val="0"/>
                <w:iCs w:val="0"/>
                <w:color w:val="000000"/>
                <w:kern w:val="0"/>
                <w:sz w:val="22"/>
                <w:szCs w:val="22"/>
                <w:u w:val="none"/>
                <w:lang w:val="en-US" w:eastAsia="zh-CN" w:bidi="ar"/>
              </w:rPr>
              <w:t>安装</w:t>
            </w:r>
          </w:p>
        </w:tc>
        <w:tc>
          <w:tcPr>
            <w:tcW w:w="4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拆除原设备、安装新设备，调试新设备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千兆工业交换机方向汇聚</w:t>
            </w:r>
            <w:r>
              <w:rPr>
                <w:rFonts w:hint="eastAsia" w:ascii="宋体" w:hAnsi="宋体" w:cs="宋体"/>
                <w:i w:val="0"/>
                <w:iCs w:val="0"/>
                <w:color w:val="000000"/>
                <w:kern w:val="0"/>
                <w:sz w:val="22"/>
                <w:szCs w:val="22"/>
                <w:u w:val="none"/>
                <w:lang w:val="en-US" w:eastAsia="zh-CN" w:bidi="ar"/>
              </w:rPr>
              <w:t>安装</w:t>
            </w:r>
          </w:p>
        </w:tc>
        <w:tc>
          <w:tcPr>
            <w:tcW w:w="4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更换设备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千兆工业交换机路口汇聚</w:t>
            </w:r>
            <w:r>
              <w:rPr>
                <w:rFonts w:hint="eastAsia" w:ascii="宋体" w:hAnsi="宋体" w:cs="宋体"/>
                <w:i w:val="0"/>
                <w:iCs w:val="0"/>
                <w:color w:val="000000"/>
                <w:kern w:val="0"/>
                <w:sz w:val="22"/>
                <w:szCs w:val="22"/>
                <w:u w:val="none"/>
                <w:lang w:val="en-US" w:eastAsia="zh-CN" w:bidi="ar"/>
              </w:rPr>
              <w:t>安装</w:t>
            </w:r>
          </w:p>
        </w:tc>
        <w:tc>
          <w:tcPr>
            <w:tcW w:w="4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更换设备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室外挂箱</w:t>
            </w:r>
            <w:r>
              <w:rPr>
                <w:rFonts w:hint="eastAsia" w:ascii="宋体" w:hAnsi="宋体" w:cs="宋体"/>
                <w:i w:val="0"/>
                <w:iCs w:val="0"/>
                <w:color w:val="000000"/>
                <w:kern w:val="0"/>
                <w:sz w:val="22"/>
                <w:szCs w:val="22"/>
                <w:u w:val="none"/>
                <w:lang w:val="en-US" w:eastAsia="zh-CN" w:bidi="ar"/>
              </w:rPr>
              <w:t>安装</w:t>
            </w:r>
          </w:p>
        </w:tc>
        <w:tc>
          <w:tcPr>
            <w:tcW w:w="4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更换设备箱</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杆件及基础7-15米</w:t>
            </w:r>
            <w:r>
              <w:rPr>
                <w:rFonts w:hint="eastAsia" w:ascii="宋体" w:hAnsi="宋体" w:cs="宋体"/>
                <w:i w:val="0"/>
                <w:iCs w:val="0"/>
                <w:color w:val="000000"/>
                <w:kern w:val="0"/>
                <w:sz w:val="22"/>
                <w:szCs w:val="22"/>
                <w:u w:val="none"/>
                <w:lang w:val="en-US" w:eastAsia="zh-CN" w:bidi="ar"/>
              </w:rPr>
              <w:t>安装</w:t>
            </w:r>
          </w:p>
        </w:tc>
        <w:tc>
          <w:tcPr>
            <w:tcW w:w="4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杆件拆除，新杆件基础开挖、浇筑、防雷接地、垃圾清运、立杆。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电源线 rvv2*2.0</w:t>
            </w:r>
            <w:r>
              <w:rPr>
                <w:rFonts w:hint="eastAsia" w:ascii="宋体" w:hAnsi="宋体" w:cs="宋体"/>
                <w:i w:val="0"/>
                <w:iCs w:val="0"/>
                <w:color w:val="000000"/>
                <w:kern w:val="0"/>
                <w:sz w:val="22"/>
                <w:szCs w:val="22"/>
                <w:u w:val="none"/>
                <w:lang w:val="en-US" w:eastAsia="zh-CN" w:bidi="ar"/>
              </w:rPr>
              <w:t>敷设</w:t>
            </w:r>
          </w:p>
        </w:tc>
        <w:tc>
          <w:tcPr>
            <w:tcW w:w="4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2890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电源线 rvv2*1.0</w:t>
            </w:r>
            <w:r>
              <w:rPr>
                <w:rFonts w:hint="eastAsia" w:ascii="宋体" w:hAnsi="宋体" w:cs="宋体"/>
                <w:i w:val="0"/>
                <w:iCs w:val="0"/>
                <w:color w:val="000000"/>
                <w:kern w:val="0"/>
                <w:sz w:val="22"/>
                <w:szCs w:val="22"/>
                <w:u w:val="none"/>
                <w:lang w:val="en-US" w:eastAsia="zh-CN" w:bidi="ar"/>
              </w:rPr>
              <w:t>敷设</w:t>
            </w:r>
          </w:p>
        </w:tc>
        <w:tc>
          <w:tcPr>
            <w:tcW w:w="4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网络线缆 UTP-CAT5E</w:t>
            </w:r>
            <w:r>
              <w:rPr>
                <w:rFonts w:hint="eastAsia" w:ascii="宋体" w:hAnsi="宋体" w:cs="宋体"/>
                <w:i w:val="0"/>
                <w:iCs w:val="0"/>
                <w:color w:val="000000"/>
                <w:kern w:val="0"/>
                <w:sz w:val="22"/>
                <w:szCs w:val="22"/>
                <w:u w:val="none"/>
                <w:lang w:val="en-US" w:eastAsia="zh-CN" w:bidi="ar"/>
              </w:rPr>
              <w:t>敷设</w:t>
            </w:r>
          </w:p>
        </w:tc>
        <w:tc>
          <w:tcPr>
            <w:tcW w:w="4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光纤 （4芯室外铠装）</w:t>
            </w:r>
            <w:r>
              <w:rPr>
                <w:rFonts w:hint="eastAsia" w:ascii="宋体" w:hAnsi="宋体" w:cs="宋体"/>
                <w:i w:val="0"/>
                <w:iCs w:val="0"/>
                <w:color w:val="000000"/>
                <w:kern w:val="0"/>
                <w:sz w:val="22"/>
                <w:szCs w:val="22"/>
                <w:u w:val="none"/>
                <w:lang w:val="en-US" w:eastAsia="zh-CN" w:bidi="ar"/>
              </w:rPr>
              <w:t>敷设</w:t>
            </w:r>
          </w:p>
        </w:tc>
        <w:tc>
          <w:tcPr>
            <w:tcW w:w="4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16个电警路口，含光纤熔接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2890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辅助管道开挖（含水泥路面）</w:t>
            </w:r>
          </w:p>
        </w:tc>
        <w:tc>
          <w:tcPr>
            <w:tcW w:w="4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绿化开挖深40cm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14</w:t>
            </w:r>
            <w:bookmarkStart w:id="1" w:name="_GoBack"/>
            <w:bookmarkEnd w:id="1"/>
          </w:p>
        </w:tc>
        <w:tc>
          <w:tcPr>
            <w:tcW w:w="9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3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3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7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4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3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7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4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3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7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Style w:val="31"/>
                <w:rFonts w:hint="eastAsia"/>
                <w:lang w:val="en-US" w:eastAsia="zh-CN" w:bidi="ar"/>
              </w:rPr>
              <w:t>工程经我公司验收合格后，向我公司提供对应施工清单及和增值税发票，经我公司审核无误后7日内付款至结算价款的95%，其余5%作为工程质量保证金。工程验收合格后满一年内无质量问题，支付尾款。若施工方不能及时响应及处理维修事项，用户有权另找其他单位维修，经费从尾款中支付。</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9"/>
        <w:numPr>
          <w:ilvl w:val="1"/>
          <w:numId w:val="0"/>
        </w:numPr>
        <w:tabs>
          <w:tab w:val="left" w:pos="2347"/>
        </w:tabs>
        <w:spacing w:line="360" w:lineRule="auto"/>
        <w:ind w:leftChars="200" w:right="524" w:rightChars="0"/>
        <w:jc w:val="center"/>
        <w:rPr>
          <w:b w:val="0"/>
          <w:bCs w:val="0"/>
          <w:sz w:val="36"/>
          <w:szCs w:val="36"/>
        </w:rPr>
      </w:pPr>
      <w:r>
        <w:rPr>
          <w:rFonts w:hint="eastAsia"/>
          <w:sz w:val="36"/>
          <w:szCs w:val="36"/>
          <w:lang w:eastAsia="zh-CN"/>
        </w:rPr>
        <w:t>四、</w:t>
      </w:r>
      <w:r>
        <w:rPr>
          <w:sz w:val="36"/>
          <w:szCs w:val="36"/>
        </w:rPr>
        <w:t>合同条款及格式</w:t>
      </w:r>
    </w:p>
    <w:p>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none"/>
          <w:lang w:val="en-US" w:eastAsia="zh-CN"/>
        </w:rPr>
        <w:t xml:space="preserve"> </w:t>
      </w:r>
      <w:r>
        <w:rPr>
          <w:rFonts w:hint="eastAsia" w:ascii="宋体" w:hAnsi="宋体"/>
          <w:b/>
          <w:sz w:val="24"/>
          <w:szCs w:val="24"/>
          <w:u w:val="single"/>
          <w:lang w:val="en-US" w:eastAsia="zh-CN"/>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双方就工程施工及有关事项协商一致</w:t>
      </w:r>
      <w:r>
        <w:rPr>
          <w:rFonts w:hint="eastAsia" w:ascii="宋体" w:hAnsi="宋体" w:eastAsia="宋体"/>
          <w:sz w:val="24"/>
          <w:szCs w:val="24"/>
        </w:rPr>
        <w:t>，</w:t>
      </w:r>
      <w:r>
        <w:rPr>
          <w:rFonts w:ascii="宋体" w:hAnsi="宋体" w:eastAsia="宋体"/>
          <w:sz w:val="24"/>
          <w:szCs w:val="24"/>
        </w:rPr>
        <w:t>共同达成如下协议：</w:t>
      </w:r>
    </w:p>
    <w:p>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cs="宋体"/>
          <w:bCs/>
          <w:sz w:val="24"/>
          <w:szCs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bCs/>
          <w:sz w:val="24"/>
          <w:szCs w:val="24"/>
        </w:rPr>
        <w:t xml:space="preserve">   </w:t>
      </w:r>
    </w:p>
    <w:p>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w:t>
      </w:r>
      <w:r>
        <w:rPr>
          <w:rFonts w:hint="eastAsia" w:ascii="宋体" w:hAnsi="宋体" w:cs="宋体"/>
          <w:sz w:val="24"/>
          <w:u w:val="single"/>
        </w:rPr>
        <w:t xml:space="preserve">   </w:t>
      </w:r>
      <w:r>
        <w:rPr>
          <w:rFonts w:hint="eastAsia" w:ascii="宋体" w:hAnsi="宋体" w:eastAsia="宋体" w:cs="宋体"/>
          <w:bCs/>
          <w:sz w:val="24"/>
          <w:szCs w:val="24"/>
        </w:rPr>
        <w:t xml:space="preserve"> </w:t>
      </w:r>
    </w:p>
    <w:p>
      <w:pPr>
        <w:numPr>
          <w:ilvl w:val="0"/>
          <w:numId w:val="3"/>
        </w:numPr>
        <w:spacing w:line="440" w:lineRule="exact"/>
        <w:ind w:firstLine="480"/>
        <w:rPr>
          <w:rFonts w:ascii="宋体" w:hAnsi="宋体" w:eastAsia="宋体" w:cs="宋体"/>
          <w:sz w:val="24"/>
          <w:szCs w:val="24"/>
        </w:rPr>
      </w:pPr>
      <w:r>
        <w:rPr>
          <w:rFonts w:hint="eastAsia" w:ascii="宋体" w:hAnsi="宋体" w:eastAsia="宋体" w:cs="宋体"/>
          <w:sz w:val="24"/>
          <w:szCs w:val="24"/>
        </w:rPr>
        <w:t>承包范围、内容、数量（暂定）及单价：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609"/>
        <w:gridCol w:w="1137"/>
        <w:gridCol w:w="780"/>
        <w:gridCol w:w="941"/>
        <w:gridCol w:w="886"/>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3"/>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pPr>
              <w:pStyle w:val="3"/>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施工内容</w:t>
            </w:r>
          </w:p>
        </w:tc>
        <w:tc>
          <w:tcPr>
            <w:tcW w:w="1137" w:type="dxa"/>
          </w:tcPr>
          <w:p>
            <w:pPr>
              <w:pStyle w:val="3"/>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pPr>
              <w:pStyle w:val="3"/>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780" w:type="dxa"/>
          </w:tcPr>
          <w:p>
            <w:pPr>
              <w:pStyle w:val="3"/>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单位</w:t>
            </w:r>
          </w:p>
        </w:tc>
        <w:tc>
          <w:tcPr>
            <w:tcW w:w="941" w:type="dxa"/>
          </w:tcPr>
          <w:p>
            <w:pPr>
              <w:pStyle w:val="3"/>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886" w:type="dxa"/>
          </w:tcPr>
          <w:p>
            <w:pPr>
              <w:pStyle w:val="3"/>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737" w:type="dxa"/>
          </w:tcPr>
          <w:p>
            <w:pPr>
              <w:pStyle w:val="3"/>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3"/>
              <w:rPr>
                <w:sz w:val="24"/>
                <w:szCs w:val="24"/>
                <w:vertAlign w:val="baseline"/>
              </w:rPr>
            </w:pPr>
          </w:p>
        </w:tc>
        <w:tc>
          <w:tcPr>
            <w:tcW w:w="2609" w:type="dxa"/>
          </w:tcPr>
          <w:p>
            <w:pPr>
              <w:pStyle w:val="3"/>
              <w:rPr>
                <w:sz w:val="24"/>
                <w:szCs w:val="24"/>
                <w:vertAlign w:val="baseline"/>
              </w:rPr>
            </w:pPr>
          </w:p>
        </w:tc>
        <w:tc>
          <w:tcPr>
            <w:tcW w:w="1137" w:type="dxa"/>
          </w:tcPr>
          <w:p>
            <w:pPr>
              <w:pStyle w:val="3"/>
              <w:rPr>
                <w:sz w:val="24"/>
                <w:szCs w:val="24"/>
                <w:vertAlign w:val="baseline"/>
              </w:rPr>
            </w:pPr>
          </w:p>
        </w:tc>
        <w:tc>
          <w:tcPr>
            <w:tcW w:w="780" w:type="dxa"/>
          </w:tcPr>
          <w:p>
            <w:pPr>
              <w:pStyle w:val="3"/>
              <w:rPr>
                <w:sz w:val="24"/>
                <w:szCs w:val="24"/>
                <w:vertAlign w:val="baseline"/>
              </w:rPr>
            </w:pPr>
          </w:p>
        </w:tc>
        <w:tc>
          <w:tcPr>
            <w:tcW w:w="941" w:type="dxa"/>
          </w:tcPr>
          <w:p>
            <w:pPr>
              <w:pStyle w:val="3"/>
              <w:rPr>
                <w:sz w:val="24"/>
                <w:szCs w:val="24"/>
                <w:vertAlign w:val="baseline"/>
              </w:rPr>
            </w:pPr>
          </w:p>
        </w:tc>
        <w:tc>
          <w:tcPr>
            <w:tcW w:w="886" w:type="dxa"/>
          </w:tcPr>
          <w:p>
            <w:pPr>
              <w:pStyle w:val="3"/>
              <w:rPr>
                <w:sz w:val="24"/>
                <w:szCs w:val="24"/>
                <w:vertAlign w:val="baseline"/>
              </w:rPr>
            </w:pPr>
          </w:p>
        </w:tc>
        <w:tc>
          <w:tcPr>
            <w:tcW w:w="737" w:type="dxa"/>
          </w:tcPr>
          <w:p>
            <w:pPr>
              <w:pStyle w:val="3"/>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3"/>
              <w:rPr>
                <w:sz w:val="24"/>
                <w:szCs w:val="24"/>
                <w:vertAlign w:val="baseline"/>
              </w:rPr>
            </w:pPr>
          </w:p>
        </w:tc>
        <w:tc>
          <w:tcPr>
            <w:tcW w:w="2609" w:type="dxa"/>
          </w:tcPr>
          <w:p>
            <w:pPr>
              <w:pStyle w:val="3"/>
              <w:rPr>
                <w:sz w:val="24"/>
                <w:szCs w:val="24"/>
                <w:vertAlign w:val="baseline"/>
              </w:rPr>
            </w:pPr>
          </w:p>
        </w:tc>
        <w:tc>
          <w:tcPr>
            <w:tcW w:w="1137" w:type="dxa"/>
          </w:tcPr>
          <w:p>
            <w:pPr>
              <w:pStyle w:val="3"/>
              <w:rPr>
                <w:sz w:val="24"/>
                <w:szCs w:val="24"/>
                <w:vertAlign w:val="baseline"/>
              </w:rPr>
            </w:pPr>
          </w:p>
        </w:tc>
        <w:tc>
          <w:tcPr>
            <w:tcW w:w="780" w:type="dxa"/>
          </w:tcPr>
          <w:p>
            <w:pPr>
              <w:pStyle w:val="3"/>
              <w:rPr>
                <w:sz w:val="24"/>
                <w:szCs w:val="24"/>
                <w:vertAlign w:val="baseline"/>
              </w:rPr>
            </w:pPr>
          </w:p>
        </w:tc>
        <w:tc>
          <w:tcPr>
            <w:tcW w:w="941" w:type="dxa"/>
          </w:tcPr>
          <w:p>
            <w:pPr>
              <w:pStyle w:val="3"/>
              <w:rPr>
                <w:sz w:val="24"/>
                <w:szCs w:val="24"/>
                <w:vertAlign w:val="baseline"/>
              </w:rPr>
            </w:pPr>
          </w:p>
        </w:tc>
        <w:tc>
          <w:tcPr>
            <w:tcW w:w="886" w:type="dxa"/>
          </w:tcPr>
          <w:p>
            <w:pPr>
              <w:pStyle w:val="3"/>
              <w:rPr>
                <w:sz w:val="24"/>
                <w:szCs w:val="24"/>
                <w:vertAlign w:val="baseline"/>
              </w:rPr>
            </w:pPr>
          </w:p>
        </w:tc>
        <w:tc>
          <w:tcPr>
            <w:tcW w:w="737" w:type="dxa"/>
          </w:tcPr>
          <w:p>
            <w:pPr>
              <w:pStyle w:val="3"/>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3"/>
              <w:rPr>
                <w:sz w:val="24"/>
                <w:szCs w:val="24"/>
                <w:vertAlign w:val="baseline"/>
              </w:rPr>
            </w:pPr>
          </w:p>
        </w:tc>
        <w:tc>
          <w:tcPr>
            <w:tcW w:w="2609" w:type="dxa"/>
          </w:tcPr>
          <w:p>
            <w:pPr>
              <w:pStyle w:val="3"/>
              <w:rPr>
                <w:sz w:val="24"/>
                <w:szCs w:val="24"/>
                <w:vertAlign w:val="baseline"/>
              </w:rPr>
            </w:pPr>
          </w:p>
        </w:tc>
        <w:tc>
          <w:tcPr>
            <w:tcW w:w="1137" w:type="dxa"/>
          </w:tcPr>
          <w:p>
            <w:pPr>
              <w:pStyle w:val="3"/>
              <w:rPr>
                <w:sz w:val="24"/>
                <w:szCs w:val="24"/>
                <w:vertAlign w:val="baseline"/>
              </w:rPr>
            </w:pPr>
          </w:p>
        </w:tc>
        <w:tc>
          <w:tcPr>
            <w:tcW w:w="780" w:type="dxa"/>
          </w:tcPr>
          <w:p>
            <w:pPr>
              <w:pStyle w:val="3"/>
              <w:rPr>
                <w:sz w:val="24"/>
                <w:szCs w:val="24"/>
                <w:vertAlign w:val="baseline"/>
              </w:rPr>
            </w:pPr>
          </w:p>
        </w:tc>
        <w:tc>
          <w:tcPr>
            <w:tcW w:w="941" w:type="dxa"/>
          </w:tcPr>
          <w:p>
            <w:pPr>
              <w:pStyle w:val="3"/>
              <w:rPr>
                <w:sz w:val="24"/>
                <w:szCs w:val="24"/>
                <w:vertAlign w:val="baseline"/>
              </w:rPr>
            </w:pPr>
          </w:p>
        </w:tc>
        <w:tc>
          <w:tcPr>
            <w:tcW w:w="886" w:type="dxa"/>
          </w:tcPr>
          <w:p>
            <w:pPr>
              <w:pStyle w:val="3"/>
              <w:rPr>
                <w:sz w:val="24"/>
                <w:szCs w:val="24"/>
                <w:vertAlign w:val="baseline"/>
              </w:rPr>
            </w:pPr>
          </w:p>
        </w:tc>
        <w:tc>
          <w:tcPr>
            <w:tcW w:w="737" w:type="dxa"/>
          </w:tcPr>
          <w:p>
            <w:pPr>
              <w:pStyle w:val="3"/>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3"/>
              <w:rPr>
                <w:sz w:val="24"/>
                <w:szCs w:val="24"/>
                <w:vertAlign w:val="baseline"/>
              </w:rPr>
            </w:pPr>
          </w:p>
        </w:tc>
        <w:tc>
          <w:tcPr>
            <w:tcW w:w="2609" w:type="dxa"/>
          </w:tcPr>
          <w:p>
            <w:pPr>
              <w:pStyle w:val="3"/>
              <w:rPr>
                <w:sz w:val="24"/>
                <w:szCs w:val="24"/>
                <w:vertAlign w:val="baseline"/>
              </w:rPr>
            </w:pPr>
          </w:p>
        </w:tc>
        <w:tc>
          <w:tcPr>
            <w:tcW w:w="1137" w:type="dxa"/>
          </w:tcPr>
          <w:p>
            <w:pPr>
              <w:pStyle w:val="3"/>
              <w:rPr>
                <w:sz w:val="24"/>
                <w:szCs w:val="24"/>
                <w:vertAlign w:val="baseline"/>
              </w:rPr>
            </w:pPr>
          </w:p>
        </w:tc>
        <w:tc>
          <w:tcPr>
            <w:tcW w:w="780" w:type="dxa"/>
          </w:tcPr>
          <w:p>
            <w:pPr>
              <w:pStyle w:val="3"/>
              <w:rPr>
                <w:sz w:val="24"/>
                <w:szCs w:val="24"/>
                <w:vertAlign w:val="baseline"/>
              </w:rPr>
            </w:pPr>
          </w:p>
        </w:tc>
        <w:tc>
          <w:tcPr>
            <w:tcW w:w="941" w:type="dxa"/>
          </w:tcPr>
          <w:p>
            <w:pPr>
              <w:pStyle w:val="3"/>
              <w:rPr>
                <w:sz w:val="24"/>
                <w:szCs w:val="24"/>
                <w:vertAlign w:val="baseline"/>
              </w:rPr>
            </w:pPr>
          </w:p>
        </w:tc>
        <w:tc>
          <w:tcPr>
            <w:tcW w:w="886" w:type="dxa"/>
          </w:tcPr>
          <w:p>
            <w:pPr>
              <w:pStyle w:val="3"/>
              <w:rPr>
                <w:sz w:val="24"/>
                <w:szCs w:val="24"/>
                <w:vertAlign w:val="baseline"/>
              </w:rPr>
            </w:pPr>
          </w:p>
        </w:tc>
        <w:tc>
          <w:tcPr>
            <w:tcW w:w="737" w:type="dxa"/>
          </w:tcPr>
          <w:p>
            <w:pPr>
              <w:pStyle w:val="3"/>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3"/>
              <w:rPr>
                <w:sz w:val="24"/>
                <w:szCs w:val="24"/>
                <w:vertAlign w:val="baseline"/>
              </w:rPr>
            </w:pPr>
          </w:p>
        </w:tc>
        <w:tc>
          <w:tcPr>
            <w:tcW w:w="2609" w:type="dxa"/>
          </w:tcPr>
          <w:p>
            <w:pPr>
              <w:pStyle w:val="3"/>
              <w:rPr>
                <w:sz w:val="24"/>
                <w:szCs w:val="24"/>
                <w:vertAlign w:val="baseline"/>
              </w:rPr>
            </w:pPr>
          </w:p>
        </w:tc>
        <w:tc>
          <w:tcPr>
            <w:tcW w:w="1137" w:type="dxa"/>
          </w:tcPr>
          <w:p>
            <w:pPr>
              <w:pStyle w:val="3"/>
              <w:rPr>
                <w:sz w:val="24"/>
                <w:szCs w:val="24"/>
                <w:vertAlign w:val="baseline"/>
              </w:rPr>
            </w:pPr>
          </w:p>
        </w:tc>
        <w:tc>
          <w:tcPr>
            <w:tcW w:w="780" w:type="dxa"/>
          </w:tcPr>
          <w:p>
            <w:pPr>
              <w:pStyle w:val="3"/>
              <w:rPr>
                <w:sz w:val="24"/>
                <w:szCs w:val="24"/>
                <w:vertAlign w:val="baseline"/>
              </w:rPr>
            </w:pPr>
          </w:p>
        </w:tc>
        <w:tc>
          <w:tcPr>
            <w:tcW w:w="941" w:type="dxa"/>
          </w:tcPr>
          <w:p>
            <w:pPr>
              <w:pStyle w:val="3"/>
              <w:rPr>
                <w:sz w:val="24"/>
                <w:szCs w:val="24"/>
                <w:vertAlign w:val="baseline"/>
              </w:rPr>
            </w:pPr>
          </w:p>
        </w:tc>
        <w:tc>
          <w:tcPr>
            <w:tcW w:w="886" w:type="dxa"/>
          </w:tcPr>
          <w:p>
            <w:pPr>
              <w:pStyle w:val="3"/>
              <w:rPr>
                <w:sz w:val="24"/>
                <w:szCs w:val="24"/>
                <w:vertAlign w:val="baseline"/>
              </w:rPr>
            </w:pPr>
          </w:p>
        </w:tc>
        <w:tc>
          <w:tcPr>
            <w:tcW w:w="737" w:type="dxa"/>
          </w:tcPr>
          <w:p>
            <w:pPr>
              <w:pStyle w:val="3"/>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8" w:type="dxa"/>
            <w:gridSpan w:val="7"/>
          </w:tcPr>
          <w:p>
            <w:pPr>
              <w:pStyle w:val="3"/>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pPr>
        <w:numPr>
          <w:ilvl w:val="0"/>
          <w:numId w:val="3"/>
        </w:numPr>
        <w:spacing w:line="440" w:lineRule="exact"/>
        <w:ind w:left="0" w:leftChars="0" w:firstLine="480" w:firstLineChars="0"/>
        <w:rPr>
          <w:rFonts w:hint="eastAsia" w:ascii="宋体" w:hAnsi="宋体" w:eastAsia="宋体" w:cs="宋体"/>
          <w:sz w:val="24"/>
          <w:szCs w:val="24"/>
        </w:rPr>
      </w:pPr>
      <w:r>
        <w:rPr>
          <w:rFonts w:hint="eastAsia" w:ascii="宋体" w:hAnsi="宋体" w:eastAsia="宋体" w:cs="宋体"/>
          <w:sz w:val="24"/>
          <w:szCs w:val="24"/>
        </w:rPr>
        <w:t>工程数量：根据甲方提供的施工图纸、技术规范、质量要求等有关资料要求的工作内容进行施工，工程全部完成后，由甲方组织验收，出具工程数量确认</w:t>
      </w:r>
      <w:r>
        <w:rPr>
          <w:rFonts w:ascii="宋体" w:hAnsi="宋体" w:eastAsia="宋体" w:cs="宋体"/>
          <w:sz w:val="24"/>
          <w:szCs w:val="24"/>
        </w:rPr>
        <w:t>单，以此作为</w:t>
      </w:r>
      <w:r>
        <w:rPr>
          <w:rFonts w:hint="eastAsia" w:ascii="宋体" w:hAnsi="宋体" w:eastAsia="宋体" w:cs="宋体"/>
          <w:sz w:val="24"/>
          <w:szCs w:val="24"/>
        </w:rPr>
        <w:t>确认工程数量的最终依据。</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本合同单价为全费用综合单价（以下称“综合单价”，包含分项工程人工费、材料费、机械</w:t>
      </w:r>
      <w:r>
        <w:rPr>
          <w:rFonts w:hint="eastAsia" w:ascii="宋体" w:hAnsi="宋体" w:eastAsia="宋体" w:cs="宋体"/>
          <w:sz w:val="24"/>
          <w:szCs w:val="24"/>
          <w:lang w:val="en-US" w:eastAsia="zh-CN"/>
        </w:rPr>
        <w:t>使用费</w:t>
      </w:r>
      <w:r>
        <w:rPr>
          <w:rFonts w:hint="eastAsia" w:ascii="宋体" w:hAnsi="宋体" w:eastAsia="宋体" w:cs="宋体"/>
          <w:sz w:val="24"/>
          <w:szCs w:val="24"/>
        </w:rPr>
        <w:t>，管理费、利润、规费以及有关文件规定的调价、税金、一定范围内的风险，工程量清单无论增减幅度如何，综合单价均不作调整，结算工程量按甲方审定的工程量进行结算。</w:t>
      </w:r>
    </w:p>
    <w:p>
      <w:pPr>
        <w:numPr>
          <w:ilvl w:val="0"/>
          <w:numId w:val="4"/>
        </w:numPr>
        <w:spacing w:line="440" w:lineRule="exact"/>
        <w:ind w:firstLine="480" w:firstLineChars="200"/>
      </w:pPr>
      <w:r>
        <w:rPr>
          <w:rFonts w:hint="eastAsia" w:ascii="宋体" w:hAnsi="宋体" w:eastAsia="宋体" w:cs="宋体"/>
          <w:sz w:val="24"/>
          <w:szCs w:val="24"/>
        </w:rPr>
        <w:t>承包价格内包含为完成本合同工程所需的人工、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lang w:val="en-US" w:eastAsia="zh-CN"/>
        </w:rPr>
        <w:t>机械使用费</w:t>
      </w:r>
      <w:r>
        <w:rPr>
          <w:rFonts w:hint="eastAsia" w:ascii="宋体" w:hAnsi="宋体" w:eastAsia="宋体" w:cs="宋体"/>
          <w:sz w:val="24"/>
          <w:szCs w:val="24"/>
        </w:rPr>
        <w:t>、保险、安全、环境、税金、利润、管理、</w:t>
      </w:r>
      <w:r>
        <w:rPr>
          <w:rFonts w:hint="eastAsia" w:ascii="宋体" w:hAnsi="宋体" w:cs="宋体"/>
          <w:sz w:val="24"/>
          <w:szCs w:val="24"/>
          <w:lang w:val="en-US" w:eastAsia="zh-CN"/>
        </w:rPr>
        <w:t>折旧、</w:t>
      </w:r>
      <w:r>
        <w:rPr>
          <w:rFonts w:hint="eastAsia" w:ascii="宋体" w:hAnsi="宋体" w:eastAsia="宋体" w:cs="宋体"/>
          <w:sz w:val="24"/>
          <w:szCs w:val="24"/>
        </w:rPr>
        <w:t>整体质保及现场文明施工等一切按甲方与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30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，为乙方完成本合同工程所需的全部期限，包括按照本合同约定所作的期限变更。乙方应当配备足够的机械设备和人员，确保按工期计划完成。</w:t>
      </w:r>
    </w:p>
    <w:p>
      <w:pPr>
        <w:spacing w:line="440" w:lineRule="exact"/>
        <w:ind w:firstLine="482" w:firstLineChars="200"/>
        <w:rPr>
          <w:rFonts w:ascii="宋体" w:hAnsi="宋体" w:eastAsia="宋体"/>
          <w:sz w:val="24"/>
          <w:szCs w:val="24"/>
        </w:rPr>
      </w:pPr>
      <w:r>
        <w:rPr>
          <w:rFonts w:hint="eastAsia" w:ascii="宋体" w:hAnsi="宋体" w:eastAsia="宋体"/>
          <w:b/>
          <w:sz w:val="24"/>
          <w:szCs w:val="24"/>
        </w:rPr>
        <w:t>第四条  工程</w:t>
      </w:r>
      <w:r>
        <w:rPr>
          <w:rFonts w:ascii="宋体" w:hAnsi="宋体" w:eastAsia="宋体"/>
          <w:b/>
          <w:sz w:val="24"/>
          <w:szCs w:val="24"/>
        </w:rPr>
        <w:t>质量标准</w:t>
      </w:r>
      <w:r>
        <w:rPr>
          <w:rFonts w:hint="eastAsia" w:ascii="宋体" w:hAnsi="宋体" w:eastAsia="宋体"/>
          <w:b/>
          <w:sz w:val="24"/>
          <w:szCs w:val="24"/>
        </w:rPr>
        <w:t>和质量保证期</w:t>
      </w:r>
    </w:p>
    <w:p>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、本合同</w:t>
      </w:r>
      <w:r>
        <w:rPr>
          <w:rFonts w:ascii="宋体" w:hAnsi="宋体" w:eastAsia="宋体"/>
          <w:sz w:val="24"/>
          <w:szCs w:val="24"/>
        </w:rPr>
        <w:t>项下工程质量应符合</w:t>
      </w:r>
      <w:r>
        <w:rPr>
          <w:rFonts w:hint="eastAsia" w:ascii="宋体" w:hAnsi="宋体" w:eastAsia="宋体" w:cs="宋体"/>
          <w:spacing w:val="-1"/>
          <w:kern w:val="0"/>
          <w:sz w:val="24"/>
          <w:szCs w:val="24"/>
        </w:rPr>
        <w:t>国家相应的施工规范、合同约定的质量技术标准、施工图纸的要求，</w:t>
      </w:r>
      <w:r>
        <w:rPr>
          <w:rFonts w:hint="eastAsia" w:ascii="宋体" w:hAnsi="宋体" w:eastAsia="宋体" w:cs="宋体"/>
          <w:kern w:val="0"/>
          <w:sz w:val="24"/>
          <w:szCs w:val="24"/>
        </w:rPr>
        <w:t>达到合格以上质量标准，同时应当符合甲方在项目投标文件中承诺符合的标准，并经竣工验收合格。</w:t>
      </w:r>
    </w:p>
    <w:p>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项下工程质保期为</w:t>
      </w:r>
      <w:r>
        <w:rPr>
          <w:rFonts w:hint="eastAsia" w:ascii="宋体" w:hAnsi="宋体" w:eastAsia="宋体"/>
          <w:sz w:val="24"/>
          <w:szCs w:val="24"/>
          <w:highlight w:val="green"/>
          <w:u w:val="single"/>
        </w:rPr>
        <w:t xml:space="preserve"> </w:t>
      </w:r>
      <w:r>
        <w:rPr>
          <w:rFonts w:hint="eastAsia" w:ascii="宋体" w:hAnsi="宋体"/>
          <w:sz w:val="24"/>
          <w:szCs w:val="24"/>
          <w:highlight w:val="green"/>
          <w:u w:val="single"/>
          <w:lang w:val="en-US" w:eastAsia="zh-CN"/>
        </w:rPr>
        <w:t xml:space="preserve">  </w:t>
      </w:r>
      <w:r>
        <w:rPr>
          <w:rFonts w:hint="eastAsia" w:ascii="宋体" w:hAnsi="宋体" w:eastAsia="宋体"/>
          <w:sz w:val="24"/>
          <w:szCs w:val="24"/>
          <w:highlight w:val="green"/>
          <w:u w:val="single"/>
          <w:lang w:val="en-US" w:eastAsia="zh-CN"/>
        </w:rPr>
        <w:t xml:space="preserve"> </w:t>
      </w:r>
      <w:r>
        <w:rPr>
          <w:rFonts w:hint="eastAsia" w:ascii="宋体" w:hAnsi="宋体" w:eastAsia="宋体"/>
          <w:sz w:val="24"/>
          <w:szCs w:val="24"/>
          <w:highlight w:val="green"/>
        </w:rPr>
        <w:t>年</w:t>
      </w:r>
      <w:r>
        <w:rPr>
          <w:rFonts w:ascii="宋体" w:hAnsi="宋体" w:eastAsia="宋体"/>
          <w:sz w:val="24"/>
          <w:szCs w:val="24"/>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施工，工程质量达不到验收标准，甲方派驻的现场管理人员和监理工程师有权责令其停工、返工，由此造成甲方受到的罚款及导致甲方违约行为所产生的一切损失由乙方自行承担，对于不合格的工程，甲方不予结算支付工程款,直至整改完毕且符合验收标准。</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第五条  工程</w:t>
      </w:r>
      <w:r>
        <w:rPr>
          <w:rFonts w:ascii="宋体" w:hAnsi="宋体" w:eastAsia="宋体"/>
          <w:b/>
          <w:sz w:val="24"/>
          <w:szCs w:val="24"/>
        </w:rPr>
        <w:t>验收</w:t>
      </w:r>
    </w:p>
    <w:p>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甲方、业主方</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分包工程完工后，乙方应当向甲方申请竣工验收。竣工验收不合格的，乙方应按照合同约定的质量标准和技术要求进行修理、返工，并承担由此产生的全部费用，因此造成工期延误的，乙方还应按照本合同约定承担违约责任。</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工程款</w:t>
      </w:r>
      <w:r>
        <w:rPr>
          <w:rFonts w:ascii="宋体" w:hAnsi="宋体" w:eastAsia="宋体"/>
          <w:b/>
          <w:sz w:val="24"/>
          <w:szCs w:val="24"/>
        </w:rPr>
        <w:t>结算与支付</w:t>
      </w:r>
    </w:p>
    <w:p>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工程经甲方验收合格后，向甲方提供对应施工清单及和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工程验收合格后满一年内无质量问题，支付尾款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eastAsia="宋体"/>
          <w:sz w:val="24"/>
          <w:szCs w:val="24"/>
        </w:rPr>
        <w:t>工程</w:t>
      </w:r>
      <w:r>
        <w:rPr>
          <w:rFonts w:ascii="宋体" w:hAnsi="宋体" w:eastAsia="宋体"/>
          <w:sz w:val="24"/>
          <w:szCs w:val="24"/>
        </w:rPr>
        <w:t>款。</w:t>
      </w:r>
    </w:p>
    <w:p>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eastAsia="宋体"/>
          <w:sz w:val="24"/>
          <w:szCs w:val="24"/>
        </w:rPr>
        <w:t>工程</w:t>
      </w:r>
      <w:r>
        <w:rPr>
          <w:rFonts w:ascii="宋体" w:hAnsi="宋体" w:eastAsia="宋体"/>
          <w:sz w:val="24"/>
          <w:szCs w:val="24"/>
        </w:rPr>
        <w:t>存在质量问题时，甲方有权追责，并要求乙方进行整改。</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eastAsia="宋体"/>
          <w:sz w:val="24"/>
          <w:szCs w:val="24"/>
        </w:rPr>
        <w:t>施工现场</w:t>
      </w:r>
      <w:r>
        <w:rPr>
          <w:rFonts w:ascii="宋体" w:hAnsi="宋体" w:eastAsia="宋体"/>
          <w:sz w:val="24"/>
          <w:szCs w:val="24"/>
        </w:rPr>
        <w:t>应遵守现场管理规章制度，必须服从甲方委派的现场管理人员及驻地监理工程师的监督、指导，做好现场施工的原始记录，并在工程具备竣工验收条件</w:t>
      </w:r>
      <w:r>
        <w:rPr>
          <w:rFonts w:hint="eastAsia" w:ascii="宋体" w:hAnsi="宋体" w:eastAsia="宋体"/>
          <w:sz w:val="24"/>
          <w:szCs w:val="24"/>
        </w:rPr>
        <w:t>时</w:t>
      </w:r>
      <w:r>
        <w:rPr>
          <w:rFonts w:ascii="宋体" w:hAnsi="宋体" w:eastAsia="宋体"/>
          <w:sz w:val="24"/>
          <w:szCs w:val="24"/>
        </w:rPr>
        <w:t>，按照甲方与业主</w:t>
      </w:r>
      <w:r>
        <w:rPr>
          <w:rFonts w:hint="eastAsia" w:ascii="宋体" w:hAnsi="宋体" w:eastAsia="宋体"/>
          <w:sz w:val="24"/>
          <w:szCs w:val="24"/>
        </w:rPr>
        <w:t>方</w:t>
      </w:r>
      <w:r>
        <w:rPr>
          <w:rFonts w:ascii="宋体" w:hAnsi="宋体" w:eastAsia="宋体"/>
          <w:sz w:val="24"/>
          <w:szCs w:val="24"/>
        </w:rPr>
        <w:t>签订的合同工程竣工验收有关规定，向甲方提供完整的竣工资料</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施工过程中，应当保持施工场地平整，道路畅通，排水设施得当，水电线路整齐，机具设备状况良好，使用合理，施工作业符合消防和安全要求；工程交验前，乙方负责清理施工场地，应当做到“工完场清”</w:t>
      </w:r>
      <w:r>
        <w:rPr>
          <w:rFonts w:hint="eastAsia" w:ascii="宋体" w:hAnsi="宋体" w:eastAsia="宋体"/>
          <w:sz w:val="24"/>
          <w:szCs w:val="24"/>
        </w:rPr>
        <w:t>。</w:t>
      </w:r>
    </w:p>
    <w:p>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pPr>
        <w:spacing w:line="440" w:lineRule="exact"/>
        <w:ind w:firstLine="48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乙方负责</w:t>
      </w:r>
      <w:r>
        <w:rPr>
          <w:rFonts w:hint="eastAsia" w:ascii="宋体" w:hAnsi="宋体" w:eastAsia="宋体"/>
          <w:sz w:val="24"/>
          <w:szCs w:val="24"/>
        </w:rPr>
        <w:t>对</w:t>
      </w:r>
      <w:r>
        <w:rPr>
          <w:rFonts w:ascii="宋体" w:hAnsi="宋体" w:eastAsia="宋体"/>
          <w:sz w:val="24"/>
          <w:szCs w:val="24"/>
        </w:rPr>
        <w:t>工程施工现场</w:t>
      </w:r>
      <w:r>
        <w:rPr>
          <w:rFonts w:hint="eastAsia" w:ascii="宋体" w:hAnsi="宋体" w:eastAsia="宋体"/>
          <w:sz w:val="24"/>
          <w:szCs w:val="24"/>
        </w:rPr>
        <w:t>人员的</w:t>
      </w:r>
      <w:r>
        <w:rPr>
          <w:rFonts w:ascii="宋体" w:hAnsi="宋体" w:eastAsia="宋体"/>
          <w:sz w:val="24"/>
          <w:szCs w:val="24"/>
        </w:rPr>
        <w:t>安全管理，施工过程中发生安全事故</w:t>
      </w:r>
      <w:r>
        <w:rPr>
          <w:rFonts w:hint="eastAsia" w:ascii="宋体" w:hAnsi="宋体" w:eastAsia="宋体"/>
          <w:sz w:val="24"/>
          <w:szCs w:val="24"/>
        </w:rPr>
        <w:t>造成乙方雇佣、聘用人员、第三方人员受伤、死亡或造成财产损失的，由乙方承担最终赔偿责任。</w:t>
      </w:r>
    </w:p>
    <w:p>
      <w:pPr>
        <w:spacing w:line="440" w:lineRule="exact"/>
        <w:ind w:firstLine="48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乙方必须为其</w:t>
      </w:r>
      <w:r>
        <w:rPr>
          <w:rFonts w:hint="eastAsia" w:ascii="宋体" w:hAnsi="宋体" w:eastAsia="宋体"/>
          <w:sz w:val="24"/>
          <w:szCs w:val="24"/>
        </w:rPr>
        <w:t>全部</w:t>
      </w:r>
      <w:r>
        <w:rPr>
          <w:rFonts w:ascii="宋体" w:hAnsi="宋体" w:eastAsia="宋体"/>
          <w:sz w:val="24"/>
          <w:szCs w:val="24"/>
        </w:rPr>
        <w:t>进场人员办理意外伤害保险，为施工场地内</w:t>
      </w:r>
      <w:r>
        <w:rPr>
          <w:rFonts w:hint="eastAsia" w:ascii="宋体" w:hAnsi="宋体" w:eastAsia="宋体"/>
          <w:sz w:val="24"/>
          <w:szCs w:val="24"/>
        </w:rPr>
        <w:t>其</w:t>
      </w:r>
      <w:r>
        <w:rPr>
          <w:rFonts w:ascii="宋体" w:hAnsi="宋体" w:eastAsia="宋体"/>
          <w:sz w:val="24"/>
          <w:szCs w:val="24"/>
        </w:rPr>
        <w:t>自有人员生命</w:t>
      </w:r>
      <w:r>
        <w:rPr>
          <w:rFonts w:hint="eastAsia" w:ascii="宋体" w:hAnsi="宋体" w:eastAsia="宋体"/>
          <w:sz w:val="24"/>
          <w:szCs w:val="24"/>
        </w:rPr>
        <w:t>、</w:t>
      </w:r>
      <w:r>
        <w:rPr>
          <w:rFonts w:ascii="宋体" w:hAnsi="宋体" w:eastAsia="宋体"/>
          <w:sz w:val="24"/>
          <w:szCs w:val="24"/>
        </w:rPr>
        <w:t>财产和施工机械设备办理保险，支付保险费用。</w:t>
      </w:r>
    </w:p>
    <w:p>
      <w:pPr>
        <w:spacing w:line="440" w:lineRule="exact"/>
        <w:ind w:firstLine="480"/>
        <w:rPr>
          <w:rFonts w:ascii="宋体" w:hAnsi="宋体" w:eastAsia="宋体"/>
          <w:sz w:val="24"/>
          <w:szCs w:val="24"/>
        </w:rPr>
      </w:pPr>
      <w:r>
        <w:rPr>
          <w:rFonts w:hint="eastAsia" w:ascii="宋体" w:hAnsi="宋体" w:eastAsia="宋体"/>
          <w:sz w:val="24"/>
          <w:szCs w:val="24"/>
        </w:rPr>
        <w:t>（7）乙方应当进行用工实名制登记，并在本合同签订后三日内向甲方提交其与所招用的农民工订立的书面劳动合同。否则，甲方有权立即暂停支付合同价款并要求乙方承担违约责任。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w:t>
      </w:r>
      <w:r>
        <w:rPr>
          <w:rFonts w:hint="eastAsia" w:ascii="宋体" w:hAnsi="宋体"/>
          <w:sz w:val="24"/>
          <w:szCs w:val="24"/>
          <w:lang w:val="en-US" w:eastAsia="zh-CN"/>
        </w:rPr>
        <w:t>8</w:t>
      </w:r>
      <w:r>
        <w:rPr>
          <w:rFonts w:ascii="宋体" w:hAnsi="宋体" w:eastAsia="宋体"/>
          <w:sz w:val="24"/>
          <w:szCs w:val="24"/>
        </w:rPr>
        <w:t>）乙方不得将承包工程转包或分包给第三人。否则甲方有权</w:t>
      </w:r>
      <w:r>
        <w:rPr>
          <w:rFonts w:hint="eastAsia" w:ascii="宋体" w:hAnsi="宋体" w:eastAsia="宋体"/>
          <w:sz w:val="24"/>
          <w:szCs w:val="24"/>
        </w:rPr>
        <w:t>立即</w:t>
      </w:r>
      <w:r>
        <w:rPr>
          <w:rFonts w:ascii="宋体" w:hAnsi="宋体" w:eastAsia="宋体"/>
          <w:sz w:val="24"/>
          <w:szCs w:val="24"/>
        </w:rPr>
        <w:t>解除本合同，</w:t>
      </w:r>
      <w:r>
        <w:rPr>
          <w:rFonts w:hint="eastAsia" w:ascii="宋体" w:hAnsi="宋体" w:eastAsia="宋体"/>
          <w:sz w:val="24"/>
          <w:szCs w:val="24"/>
        </w:rPr>
        <w:t>停止支付剩余工程款，</w:t>
      </w:r>
      <w:r>
        <w:rPr>
          <w:rFonts w:ascii="宋体" w:hAnsi="宋体" w:eastAsia="宋体"/>
          <w:sz w:val="24"/>
          <w:szCs w:val="24"/>
        </w:rPr>
        <w:t>要求乙方退还</w:t>
      </w:r>
      <w:r>
        <w:rPr>
          <w:rFonts w:hint="eastAsia" w:ascii="宋体" w:hAnsi="宋体" w:eastAsia="宋体"/>
          <w:sz w:val="24"/>
          <w:szCs w:val="24"/>
        </w:rPr>
        <w:t>已支付</w:t>
      </w:r>
      <w:r>
        <w:rPr>
          <w:rFonts w:ascii="宋体" w:hAnsi="宋体" w:eastAsia="宋体"/>
          <w:sz w:val="24"/>
          <w:szCs w:val="24"/>
        </w:rPr>
        <w:t>工程款，并承担</w:t>
      </w:r>
      <w:r>
        <w:rPr>
          <w:rFonts w:hint="eastAsia" w:ascii="宋体" w:hAnsi="宋体" w:eastAsia="宋体"/>
          <w:sz w:val="24"/>
          <w:szCs w:val="24"/>
        </w:rPr>
        <w:t>合同金额30%的违约金。</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9</w:t>
      </w:r>
      <w:r>
        <w:rPr>
          <w:rFonts w:hint="eastAsia" w:ascii="宋体" w:hAnsi="宋体" w:eastAsia="宋体"/>
          <w:sz w:val="24"/>
          <w:szCs w:val="24"/>
        </w:rPr>
        <w:t>）</w:t>
      </w:r>
      <w:r>
        <w:rPr>
          <w:rFonts w:hint="eastAsia" w:ascii="宋体" w:hAnsi="宋体" w:eastAsia="宋体"/>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kern w:val="0"/>
          <w:sz w:val="24"/>
          <w:szCs w:val="24"/>
        </w:rPr>
        <w:t>20</w:t>
      </w:r>
      <w:r>
        <w:rPr>
          <w:rFonts w:hint="eastAsia" w:ascii="宋体" w:hAnsi="宋体" w:eastAsia="宋体"/>
          <w:kern w:val="0"/>
          <w:sz w:val="24"/>
          <w:szCs w:val="24"/>
        </w:rPr>
        <w:t>%作为甲方另外组织人员恢复生产的费用。</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）按照出具的《施工安全承诺书》（详见附件五）严格履行承诺。</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4</w:t>
      </w:r>
      <w:r>
        <w:rPr>
          <w:rFonts w:hint="eastAsia" w:ascii="宋体" w:hAnsi="宋体" w:eastAsia="宋体"/>
          <w:sz w:val="24"/>
          <w:szCs w:val="24"/>
        </w:rPr>
        <w:t>）本合同约定乙方应承担的其他义务及责任。</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（1）乙方将本合同项下的工程转包或再分包给他人的；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（2）乙方工程质量不符合本合同约定的质量标准且无法整改的；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（5）乙方未按照合同约定向所属农民工支付报酬，致使农民工停工、聚众闹事、上访等不稳定因素出现的；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（6）未按约定与农民工签订劳动合同，为农民工缴纳社会保险的；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pPr>
        <w:spacing w:line="440" w:lineRule="exact"/>
        <w:ind w:firstLine="480" w:firstLineChars="200"/>
        <w:rPr>
          <w:rFonts w:ascii="宋体" w:hAnsi="宋体" w:eastAsia="宋体"/>
          <w:sz w:val="24"/>
          <w:szCs w:val="24"/>
        </w:rPr>
      </w:pPr>
      <w:r>
        <w:rPr>
          <w:rFonts w:ascii="宋体" w:hAnsi="宋体" w:eastAsia="宋体"/>
          <w:sz w:val="24"/>
          <w:szCs w:val="24"/>
        </w:rPr>
        <w:t>1、工程质量不符合合同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5、乙方应保证其员工或农民工遵守《施工安全承诺书》（详见附件五）及《安全责任书》（详见附件七）中的相关规定，否则甲方可随时根据该要求中的内容对违反相关要求的人员予以罚款。</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：施工安全承诺书</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pPr>
        <w:spacing w:line="440" w:lineRule="exact"/>
        <w:rPr>
          <w:rFonts w:hint="eastAsia"/>
          <w:lang w:val="en-US" w:eastAsia="zh-CN"/>
        </w:rPr>
      </w:pPr>
      <w:r>
        <w:rPr>
          <w:rFonts w:hint="eastAsia" w:ascii="宋体" w:hAnsi="宋体" w:eastAsia="宋体"/>
          <w:b/>
          <w:sz w:val="24"/>
          <w:szCs w:val="24"/>
        </w:rPr>
        <w:t>签订时间：                               签订时间：</w:t>
      </w:r>
    </w:p>
    <w:p>
      <w:pPr>
        <w:pStyle w:val="2"/>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pPr>
        <w:pStyle w:val="17"/>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施工安全承诺书</w:t>
      </w:r>
    </w:p>
    <w:p>
      <w:pPr>
        <w:pStyle w:val="17"/>
        <w:spacing w:line="360" w:lineRule="auto"/>
        <w:ind w:firstLine="480"/>
        <w:jc w:val="center"/>
        <w:rPr>
          <w:rFonts w:hint="eastAsia" w:ascii="宋体" w:hAnsi="宋体" w:eastAsia="宋体" w:cs="宋体"/>
          <w:color w:val="000000"/>
          <w:sz w:val="24"/>
          <w:szCs w:val="24"/>
        </w:rPr>
      </w:pPr>
    </w:p>
    <w:p>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我方公司，承包贵公司施工项目，就安全生产管理工作，我公司将贯彻“安全第一，预防为主”的安全工作方针，坚决落实安全生产责任制。现我公司承诺并声明以下内容：</w:t>
      </w:r>
    </w:p>
    <w:p>
      <w:pPr>
        <w:spacing w:line="360" w:lineRule="auto"/>
        <w:ind w:firstLine="480" w:firstLineChars="200"/>
        <w:rPr>
          <w:rFonts w:hint="eastAsia" w:ascii="宋体" w:hAnsi="宋体" w:eastAsia="宋体" w:cs="宋体"/>
          <w:strike/>
          <w:dstrike w:val="0"/>
          <w:sz w:val="24"/>
          <w:szCs w:val="24"/>
          <w:u w:val="single"/>
          <w:lang w:val="en-US"/>
        </w:rPr>
      </w:pPr>
      <w:r>
        <w:rPr>
          <w:rFonts w:hint="eastAsia" w:ascii="宋体" w:hAnsi="宋体" w:eastAsia="宋体" w:cs="宋体"/>
          <w:sz w:val="24"/>
          <w:szCs w:val="24"/>
        </w:rPr>
        <w:t>1、工程项目名称：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cs="宋体"/>
          <w:sz w:val="24"/>
          <w:szCs w:val="24"/>
        </w:rPr>
        <w:t xml:space="preserve">          </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pPr>
        <w:pStyle w:val="22"/>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jc w:val="left"/>
        <w:rPr>
          <w:rFonts w:hint="eastAsia" w:ascii="宋体" w:hAnsi="宋体" w:eastAsia="宋体" w:cs="宋体"/>
          <w:b/>
          <w:sz w:val="24"/>
          <w:szCs w:val="24"/>
        </w:rPr>
      </w:pP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乙方： </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480"/>
    </w:pPr>
  </w:p>
  <w:p>
    <w:pPr>
      <w:pStyle w:val="20"/>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6E65ABA"/>
    <w:rsid w:val="082F30B8"/>
    <w:rsid w:val="0BC2638F"/>
    <w:rsid w:val="0BDC6B78"/>
    <w:rsid w:val="0D78696A"/>
    <w:rsid w:val="0DBF30C4"/>
    <w:rsid w:val="0F072001"/>
    <w:rsid w:val="100159F1"/>
    <w:rsid w:val="104E486C"/>
    <w:rsid w:val="13656B07"/>
    <w:rsid w:val="138B678C"/>
    <w:rsid w:val="15B405D8"/>
    <w:rsid w:val="18A516FB"/>
    <w:rsid w:val="193251CA"/>
    <w:rsid w:val="1B2D7691"/>
    <w:rsid w:val="1B811C42"/>
    <w:rsid w:val="1F741D8C"/>
    <w:rsid w:val="1F9757E1"/>
    <w:rsid w:val="1FC0011B"/>
    <w:rsid w:val="25DE44B5"/>
    <w:rsid w:val="264801BD"/>
    <w:rsid w:val="2B9E5DD1"/>
    <w:rsid w:val="2E1B2848"/>
    <w:rsid w:val="2EE60C25"/>
    <w:rsid w:val="300D6BCC"/>
    <w:rsid w:val="39963E4D"/>
    <w:rsid w:val="46AE2EAA"/>
    <w:rsid w:val="48832749"/>
    <w:rsid w:val="4A0E06F8"/>
    <w:rsid w:val="4BB038DA"/>
    <w:rsid w:val="50417986"/>
    <w:rsid w:val="573D2A88"/>
    <w:rsid w:val="578E4E20"/>
    <w:rsid w:val="57A86680"/>
    <w:rsid w:val="57D552ED"/>
    <w:rsid w:val="57DB3B40"/>
    <w:rsid w:val="59BE6F5A"/>
    <w:rsid w:val="5BBF6D32"/>
    <w:rsid w:val="5CA61E20"/>
    <w:rsid w:val="614F4B26"/>
    <w:rsid w:val="61852A60"/>
    <w:rsid w:val="64A92B09"/>
    <w:rsid w:val="64B30874"/>
    <w:rsid w:val="69FD1FFD"/>
    <w:rsid w:val="6BB31049"/>
    <w:rsid w:val="6CF430F2"/>
    <w:rsid w:val="6F575DD1"/>
    <w:rsid w:val="70155795"/>
    <w:rsid w:val="71E07B02"/>
    <w:rsid w:val="772E1F1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5">
    <w:name w:val="Default Paragraph Font"/>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8"/>
    </w:rPr>
  </w:style>
  <w:style w:type="paragraph" w:styleId="3">
    <w:name w:val="Body Text First Indent"/>
    <w:basedOn w:val="1"/>
    <w:next w:val="4"/>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autoRedefine/>
    <w:qFormat/>
    <w:uiPriority w:val="99"/>
  </w:style>
  <w:style w:type="paragraph" w:styleId="5">
    <w:name w:val="Body Text Indent"/>
    <w:basedOn w:val="1"/>
    <w:autoRedefine/>
    <w:qFormat/>
    <w:uiPriority w:val="99"/>
    <w:pPr>
      <w:spacing w:after="120"/>
      <w:ind w:left="420" w:leftChars="200"/>
    </w:pPr>
  </w:style>
  <w:style w:type="paragraph" w:styleId="7">
    <w:name w:val="Title"/>
    <w:basedOn w:val="8"/>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autoRedefine/>
    <w:qFormat/>
    <w:uiPriority w:val="1"/>
    <w:pPr>
      <w:ind w:left="596"/>
    </w:pPr>
    <w:rPr>
      <w:rFonts w:ascii="宋体" w:hAnsi="宋体" w:eastAsia="宋体"/>
      <w:sz w:val="24"/>
      <w:szCs w:val="24"/>
    </w:rPr>
  </w:style>
  <w:style w:type="paragraph" w:styleId="17">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8">
    <w:name w:val="toa heading"/>
    <w:basedOn w:val="1"/>
    <w:next w:val="1"/>
    <w:autoRedefine/>
    <w:qFormat/>
    <w:uiPriority w:val="0"/>
    <w:pPr>
      <w:spacing w:before="120"/>
    </w:pPr>
    <w:rPr>
      <w:rFonts w:ascii="Arial" w:hAnsi="Arial"/>
      <w:sz w:val="24"/>
    </w:rPr>
  </w:style>
  <w:style w:type="paragraph" w:styleId="19">
    <w:name w:val="Plain Text"/>
    <w:basedOn w:val="1"/>
    <w:autoRedefine/>
    <w:unhideWhenUsed/>
    <w:qFormat/>
    <w:uiPriority w:val="0"/>
    <w:rPr>
      <w:rFonts w:ascii="宋体" w:hAnsi="Courier New"/>
      <w:szCs w:val="20"/>
    </w:rPr>
  </w:style>
  <w:style w:type="paragraph" w:styleId="20">
    <w:name w:val="footer"/>
    <w:basedOn w:val="1"/>
    <w:autoRedefine/>
    <w:qFormat/>
    <w:uiPriority w:val="0"/>
    <w:pPr>
      <w:tabs>
        <w:tab w:val="center" w:pos="4153"/>
        <w:tab w:val="right" w:pos="8306"/>
      </w:tabs>
      <w:snapToGrid w:val="0"/>
      <w:jc w:val="left"/>
    </w:pPr>
    <w:rPr>
      <w:sz w:val="18"/>
    </w:rPr>
  </w:style>
  <w:style w:type="paragraph" w:styleId="2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Normal (Web)"/>
    <w:basedOn w:val="1"/>
    <w:qFormat/>
    <w:uiPriority w:val="0"/>
    <w:rPr>
      <w:sz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qFormat/>
    <w:uiPriority w:val="0"/>
    <w:rPr>
      <w:color w:val="0000FF"/>
      <w:u w:val="single"/>
    </w:rPr>
  </w:style>
  <w:style w:type="paragraph" w:customStyle="1" w:styleId="27">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8">
    <w:name w:val="font21"/>
    <w:basedOn w:val="25"/>
    <w:uiPriority w:val="0"/>
    <w:rPr>
      <w:rFonts w:hint="eastAsia" w:ascii="宋体" w:hAnsi="宋体" w:eastAsia="宋体" w:cs="宋体"/>
      <w:color w:val="FF0000"/>
      <w:sz w:val="20"/>
      <w:szCs w:val="20"/>
      <w:u w:val="none"/>
    </w:rPr>
  </w:style>
  <w:style w:type="paragraph" w:customStyle="1" w:styleId="29">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paragraph" w:customStyle="1" w:styleId="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font71"/>
    <w:basedOn w:val="25"/>
    <w:autoRedefine/>
    <w:qFormat/>
    <w:uiPriority w:val="0"/>
    <w:rPr>
      <w:rFonts w:hint="eastAsia" w:ascii="黑体" w:hAnsi="宋体" w:eastAsia="黑体" w:cs="黑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2024-02-01T02:08:22Z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46134C4003C041C1BBAE35223A4F16ED_13</vt:lpwstr>
  </property>
</Properties>
</file>