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交通信号控制机询价文件</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15"/>
        <w:rPr>
          <w:rFonts w:hint="eastAsia" w:ascii="仿宋" w:hAnsi="仿宋" w:eastAsia="仿宋" w:cs="仿宋"/>
          <w:sz w:val="28"/>
          <w:szCs w:val="28"/>
        </w:rPr>
      </w:pPr>
    </w:p>
    <w:p>
      <w:pPr>
        <w:pStyle w:val="5"/>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w:t>
      </w:r>
    </w:p>
    <w:p>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br w:type="page"/>
      </w:r>
    </w:p>
    <w:p>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0"/>
        <w:gridCol w:w="1575"/>
        <w:gridCol w:w="4065"/>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9"/>
            <w:tcBorders>
              <w:top w:val="nil"/>
              <w:left w:val="nil"/>
              <w:bottom w:val="nil"/>
              <w:right w:val="nil"/>
            </w:tcBorders>
            <w:shd w:val="clear" w:color="auto" w:fill="auto"/>
            <w:vAlign w:val="center"/>
          </w:tcPr>
          <w:p>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设备</w:t>
            </w:r>
            <w:r>
              <w:rPr>
                <w:rFonts w:hint="eastAsia" w:ascii="宋体" w:hAnsi="宋体" w:eastAsia="宋体" w:cs="宋体"/>
                <w:i w:val="0"/>
                <w:iCs w:val="0"/>
                <w:color w:val="000000"/>
                <w:kern w:val="0"/>
                <w:sz w:val="24"/>
                <w:szCs w:val="24"/>
                <w:u w:val="none"/>
                <w:lang w:val="en-US" w:eastAsia="zh-CN" w:bidi="ar"/>
              </w:rPr>
              <w:t>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交通信号控制机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3.1.1.1 总体要求</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★1、投标人所投的道路交通信号控制机厂家采用的信号控制系统，必须符合公安部 GA/T1049.2-2013 的标准。投标人所投道路交通信号控制机,必须与淮安市公安局交警支队现 有信号控制系统无缝对接（投标人参加投标时，提供书面承诺函扫描件并加盖投标人电子签章，未提供的作为无效投标处理。）。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★2、所投交通信号控制机均为集中协调式信号控制机，信号控制机的相关控制功能要求 符合国家标准《道路交通信号控制机》（GB25280-2016）中的规范要求（投标人参加投标时， 提供公安部检测机构出具的检测报告扫描件并加盖投标人电子签章，未提供的作为无效投标处理）。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★3、所投交通信号控制机符合 GB/T20999-2017 协议标准（投标人参加投标时，提供第三 方检测机构出具的检测报告扫描件并加盖投标人电子签章，未提供的作为无效投标处理）。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3.1.1.2 基本功能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1、控制模式转换交通信号控制机从自动控制模式转入手动控制模式时，手动开关作用以后，可保持原有相 位的最小安全时间，最小安全时间根据控制点实际情况设定；</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从手动控制模式转入自动控制模式时，信号状态不能突变，各相位信号可保持转换时刻的 状态，并从当前信号状态开始以自动控制方式运行。</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2、信号机路口参数配置 可在现场修改和配置信号机参数，使信号机维护工作简便化。</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交通信号控制机具有通过维护软件或图形化配置路口方案、检测器、信号灯连接关系、配 时方案与时段信息等</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3、主控模块故障应急保护★当出现绿冲突，某信号组所有红灯均熄灭或信号灯组红灯、绿灯同时点亮时，信号机应 能立即自动切断信号输出通道，转入黄闪或关灯状态；当信号机无法正常工作时，应能通过独 立的黄闪控制装置将信号输出切换为黄闪状态（投标人参加投标时，提供公安部检测机构出具 的检测报告扫描件并加盖投标人电子签章，未提供的作为无效投标处理）。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4、网络风暴抵御功能★信号机应具备广播/网络风暴防护功能，在广播风暴发生期间，信号机应正常工作，不 应出现任何异常现象（投标人参加投标时，提供公安部检测机构出具的检测报告扫描件并加盖 投标人电子签章，未提供的作为无效投标处理）。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5、数据断电保存 具有在断电情况下的数据保存功能，数据断电保存期限至少为 1 个月。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6、主备电源切换信号机提供单独的备用主电源接入端子，备用主电源通过转换开关接入电源总开关。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7、协调过街控制功能具有无电缆协调和线控协调方式下的过街控制。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8、无线手控功能可通过外接无线手持终端实现手动/自动切换、相位步进、跳相。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9、故障监测及处理功能：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（1）一般故障 集中协调式信号机应对通信、检测器等外部设备的工作状况进行监控和记录，如果发生一般故障，在能够功能降级的情况下应继续正常工作。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（2）严重故障 发生以下严重故障，交通信号控制器须立即进入黄闪或关灯状态：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1）绿冲突故障；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2）同一灯组红绿冲突故障；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3）连接在某一输出的所有信号灯组的红灯同时发生故障；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4）电压超出正常使用范围应有自保护措施；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5）影响道路交通安全的其它严重故障。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（3）故障信息存储与发送 集中协调式信号机应能对所有在运行期间采集的故障信息进行存储记录。在发现故障时，</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应能上传故障信息，所存储的信息应能在交通信号控制器或通过与交通信号控制器相连的外部 设备(该设备可检索并显示储存信息)显示、查阅，交通信号控制器至少保存不少于 250 条最新 故障记录。</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（4）故障信息内容 故障信息内容至少应包括：</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1）以代码或文本形式记录下来的故障类型与细节。</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2）故障发生的时间与日期。</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3）故障清除的时间与日期。</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10、时钟校正信号机配备 GPS 校时模块，可以自动校正信号机时钟。具有中心系统校时功能，可以与中 心控制系统连接，接收并执行中心校时命令。</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11、交通流采集功能可采集时间间隔不大于 0.25s 的交通流数据。 12、可变车道控制功能 可按时段或流量信息切换可变车道的导向方向。</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3.1.1.3 性能指标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1、相位指标</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信号机标配 16 个相位，最大可扩展至 32 相位。</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2、灯控输出</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信号机提供 48 路灯控输出，最大可扩充到 96 路灯控输出。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3、接口要求</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信号机具备 RS232 接口、RS485 接口、10/100M 的 RJ45 接口、GPS 模块接口和扩展串口。</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4、检测接口</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至少具有 16 路，可扩充至 32 路检测信号的输入。可接入多种类型的车辆检测器（微波、 视频检测，线圈，电子警察等），可检测交通流量、占有率等信息。</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3.1.1.4 电气指标</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1、交通信号控制机主电源额定电压：AC176V-264V、50Hz±2Hz；</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2、交通信号控制机可安装外接电源输入滤波器；</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3、交通信号控制机内另须安装两个标准 AC220V 电源备用插座；</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4、信号机每路的最大驱动功率为：800W；</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5、信号机整机功耗为：小于 100W；</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6、信号机相对湿度：5%~95％，非冷凝；</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7、★信号机工作温度：-20℃~70℃（投标人参加投标时，提供公安部检测机构出具的检 测报告扫描件并加盖投标人电子签章，未提供的作为无效投标处理）。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8、★信号机绝缘电阻不小于 10MΩ（投标人参加投标时，提供公安部检测机构出具的检 测报告扫描件并加盖投标人电子签章，未提供的作为无效投标处理）。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3.1.1.5 信号机箱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1、机柜外观</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交通信号控制机机柜的内、外表面及控制面板光洁、平整，无凹痕、划伤、裂缝、变形等 缺陷。表面有牢固的防锈、防腐蚀镀层或漆层，金属零件无锈蚀及其它机械损伤，各滑动或转 动部件活动应灵活，紧固部件不松动，外部表面无可能导致伤害的尖锐的突起或拐角。</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2、机柜结构 交通信号控制机机柜整体结：</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（1）为了便于后期维护，信号机的穿线孔采用合理化设计，可将不同方向、种类的线缆分类穿线理线。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（2）交通信号控制机机柜采用钢材质机柜，有利于交通信号控制机的散热和安装、使用、 维修并具有防撬设计。柜门（前门、后门、侧门）与柜体的缝隙合理，避免人为破坏信号机， 保障信号机安全。</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（3）交通信号控制机机柜设计能防雨并且尽可能降低灰尘及有害物质的侵入，机柜设计 还防止顶面积水。</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（4）交通信号控制机具有足够的机械强度，能承受正常条件下可预料到的运输、安装、 搬运等过程中的操作。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（5）为落地式安装方式。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（6）方便与交通信号控制机预制机座连接。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3、内部结构</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（1）机架为 19 英寸标准化设计。</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（2）CPU、检测、通信、电源、灯控信号输出等模块均为模块化结构，上架式安装。</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（3）材质 交通信号控制机防锈、防腐蚀处理。交通信号控制机内部的印刷电路板材料及部件进行了防潮、防腐、防盐雾的处理。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（4）机柜门 交通信号控制机机柜门的尺寸尽可能接近机柜的外部尺寸，机柜门的最大开启角度大于</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120°角。机柜门设有牢固的统一门锁，以防止被非法使用者打开，门锁上有保护装置。机柜 门与机柜接缝处应有耐久并且有弹性的密封垫，密封垫连续设置。</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（5）手动控制开关盒 机柜设有手动控制开关盒，手动控制开关盒锁与门锁有区别，使用者能在不用打开主机柜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门的情况下使用，而且也要防止被非法使用者打开。手动控制开关盒尺寸与机柜结构尺寸相适 应。手动控制门开关盒应设置在机柜的中、上部位置。</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（6）内部照明装置 室外机在机柜内应设有照明装置，满足机柜内部照明要求。</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（7）信号机箱内部标注：项目名称、建设单位。信号灯控制电缆接入信号机箱一端打上 标签，标明所控制方向灯组。</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3.1.1.6 对接及功能实现</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本项目建设的交通信号控制系统，必须符合公安部 GAT1049.2-2013 的标准，投标人负责 对接淮安市公安局交通警察支队已建设的交通信号控制系统，实现配时方案设置和指定相位等 功能。实现交通信号控制系统联网控制功能。中标供应商对要求对接的系统免费开放接口协议、 SDK 包、数据结构等与对接相关的所有资料，并承担相应的对接开发工作及所需费用等，保证 本次建设的交通信号控制系统满足采购的要求。</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1、常规控制要求 系统应能对所投信号机实现干线协调、多时段定时控制等多种控制方式。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（1）干线协调控制</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系统应能对所投信号机实现干线协调控制，信号机软件根据预先设置好的相序、配时、相位差等参数，自主进行协调平滑处理，使干线道路实现线控绿波带的效果。 2）多时段定时控制 系统应能对所投信号机实现根据时段流量分布特点，通过多时段分别固定配时方案的模式对路口控制。</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2、特殊控制要求</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（1）溢出控制 系统应能对所投信号机实现设置检测器占有率采样间隔、排队占有率加权系数、溢出占有</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率加权系数。系统能够根据多路口多方向的溢出情况组合生成溢出方案，并设置不同时段不同 溢出状态（缓行、拥堵）的配时方案，并自动下发控制方案的功能。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（2）行人过街控制</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所投信号机实现行人过街控制，系统通过过街入口处的行人按钮或行人（非机动车）检测</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设备，接收到行人过街请求信号或检测到行人信号，计算上下游交通信号路口的信号配置，提 供行人信号灯合理的过街绿灯时间。</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（3）公交优先控制</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系统应能对所投信号机实现 GPS/北斗、RFID、视频检测等多种优先请求方式，实现在公 交车辆到达交通信号控制路口时，公交车辆向交通信号控制系统请求给予优先通行信号，使公 交车辆顺利通过。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c>
          <w:tcPr>
            <w:tcW w:w="121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bookmarkStart w:id="0" w:name="_GoBack"/>
            <w:bookmarkEnd w:id="0"/>
            <w:r>
              <w:rPr>
                <w:rFonts w:hint="eastAsia" w:ascii="宋体" w:hAnsi="宋体" w:eastAsia="宋体" w:cs="宋体"/>
                <w:i w:val="0"/>
                <w:iCs w:val="0"/>
                <w:color w:val="FF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eastAsia="zh-CN"/>
              </w:rPr>
              <w:t>三年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黑体" w:hAnsi="宋体" w:eastAsia="黑体" w:cs="黑体"/>
                <w:i w:val="0"/>
                <w:iCs w:val="0"/>
                <w:color w:val="FF0000"/>
                <w:sz w:val="24"/>
                <w:szCs w:val="24"/>
                <w:u w:val="none"/>
              </w:rPr>
            </w:pPr>
            <w:r>
              <w:rPr>
                <w:rFonts w:hint="eastAsia" w:ascii="宋体" w:hAnsi="宋体" w:cs="宋体"/>
                <w:i w:val="0"/>
                <w:iCs w:val="0"/>
                <w:caps w:val="0"/>
                <w:color w:val="000000"/>
                <w:spacing w:val="0"/>
                <w:sz w:val="24"/>
                <w:szCs w:val="24"/>
                <w:shd w:val="clear" w:color="auto" w:fill="FFFFFF"/>
                <w:lang w:val="en-US" w:eastAsia="zh-CN"/>
              </w:rPr>
              <w:t>20天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sz w:val="24"/>
                <w:szCs w:val="24"/>
                <w:u w:val="none"/>
                <w:lang w:eastAsia="zh-CN"/>
              </w:rPr>
              <w:t>全额付款后发货</w:t>
            </w:r>
          </w:p>
        </w:tc>
      </w:tr>
    </w:tbl>
    <w:p>
      <w:pPr>
        <w:pStyle w:val="15"/>
        <w:rPr>
          <w:rFonts w:hint="eastAsia"/>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1、合同签订后甲方安排货款，乙方收到全额货款后发货。</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80"/>
    </w:pPr>
  </w:p>
  <w:p>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puqSftcBAACjAwAADgAAAAAAAAABACAA&#10;AAAgAQAAZHJzL2Uyb0RvYy54bWxQSwUGAAAAAAYABgBZAQAAaQUAAAAA&#10;">
              <v:fill on="f" focussize="0,0"/>
              <v:stroke on="f" weight="0.5pt"/>
              <v:imagedata o:title=""/>
              <o:lock v:ext="edit" aspectratio="f"/>
              <v:textbox inset="0mm,0mm,0mm,0mm" style="mso-fit-shape-to-text:t;">
                <w:txbxContent>
                  <w:p>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6E65ABA"/>
    <w:rsid w:val="082F30B8"/>
    <w:rsid w:val="0BC2638F"/>
    <w:rsid w:val="0D78696A"/>
    <w:rsid w:val="0DBF30C4"/>
    <w:rsid w:val="100159F1"/>
    <w:rsid w:val="15B405D8"/>
    <w:rsid w:val="17F03948"/>
    <w:rsid w:val="193251CA"/>
    <w:rsid w:val="1C3E1701"/>
    <w:rsid w:val="1CBB157E"/>
    <w:rsid w:val="1F741D8C"/>
    <w:rsid w:val="1FC0011B"/>
    <w:rsid w:val="239C7D86"/>
    <w:rsid w:val="250D2B25"/>
    <w:rsid w:val="25DE44B5"/>
    <w:rsid w:val="264801BD"/>
    <w:rsid w:val="2B9E5DD1"/>
    <w:rsid w:val="2E1B2848"/>
    <w:rsid w:val="2E625B5C"/>
    <w:rsid w:val="300D6BCC"/>
    <w:rsid w:val="3D5B5D70"/>
    <w:rsid w:val="3D972B19"/>
    <w:rsid w:val="3DBB7856"/>
    <w:rsid w:val="3F2F1811"/>
    <w:rsid w:val="464943C9"/>
    <w:rsid w:val="46AE2EAA"/>
    <w:rsid w:val="4A0E06F8"/>
    <w:rsid w:val="4BB038DA"/>
    <w:rsid w:val="4D5932DD"/>
    <w:rsid w:val="50076B1F"/>
    <w:rsid w:val="50417986"/>
    <w:rsid w:val="52845C1D"/>
    <w:rsid w:val="54457DE3"/>
    <w:rsid w:val="558E406A"/>
    <w:rsid w:val="57DB3B40"/>
    <w:rsid w:val="58416D91"/>
    <w:rsid w:val="596D654F"/>
    <w:rsid w:val="5BBF6D32"/>
    <w:rsid w:val="61852A60"/>
    <w:rsid w:val="68112FCA"/>
    <w:rsid w:val="69FD1FFD"/>
    <w:rsid w:val="6B674346"/>
    <w:rsid w:val="6BB31049"/>
    <w:rsid w:val="71E07B02"/>
    <w:rsid w:val="721001E1"/>
    <w:rsid w:val="755A1012"/>
    <w:rsid w:val="76F26880"/>
    <w:rsid w:val="78770D22"/>
    <w:rsid w:val="79744854"/>
    <w:rsid w:val="7DCD6B2C"/>
    <w:rsid w:val="7E37366F"/>
    <w:rsid w:val="7EEA0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autoRedefine/>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29">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30">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1">
    <w:name w:val="font21"/>
    <w:basedOn w:val="26"/>
    <w:autoRedefine/>
    <w:qFormat/>
    <w:uiPriority w:val="0"/>
    <w:rPr>
      <w:rFonts w:hint="eastAsia" w:ascii="宋体" w:hAnsi="宋体" w:eastAsia="宋体" w:cs="宋体"/>
      <w:color w:val="000000"/>
      <w:sz w:val="24"/>
      <w:szCs w:val="24"/>
      <w:u w:val="none"/>
    </w:rPr>
  </w:style>
  <w:style w:type="character" w:customStyle="1" w:styleId="32">
    <w:name w:val="font91"/>
    <w:basedOn w:val="26"/>
    <w:autoRedefine/>
    <w:qFormat/>
    <w:uiPriority w:val="0"/>
    <w:rPr>
      <w:rFonts w:hint="eastAsia" w:ascii="宋体" w:hAnsi="宋体" w:eastAsia="宋体" w:cs="宋体"/>
      <w:color w:val="000000"/>
      <w:sz w:val="24"/>
      <w:szCs w:val="24"/>
      <w:u w:val="single"/>
    </w:rPr>
  </w:style>
  <w:style w:type="character" w:customStyle="1" w:styleId="33">
    <w:name w:val="font81"/>
    <w:basedOn w:val="26"/>
    <w:autoRedefine/>
    <w:qFormat/>
    <w:uiPriority w:val="0"/>
    <w:rPr>
      <w:rFonts w:hint="eastAsia" w:ascii="黑体" w:hAnsi="宋体" w:eastAsia="黑体" w:cs="黑体"/>
      <w:color w:val="000000"/>
      <w:sz w:val="24"/>
      <w:szCs w:val="24"/>
      <w:u w:val="none"/>
    </w:rPr>
  </w:style>
  <w:style w:type="character" w:customStyle="1" w:styleId="34">
    <w:name w:val="font71"/>
    <w:basedOn w:val="26"/>
    <w:autoRedefine/>
    <w:qFormat/>
    <w:uiPriority w:val="0"/>
    <w:rPr>
      <w:rFonts w:hint="eastAsia" w:ascii="黑体" w:hAnsi="宋体" w:eastAsia="黑体" w:cs="黑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2023-12-12T07:57:00Z</cp:lastPrinted>
  <dcterms:modified xsi:type="dcterms:W3CDTF">2024-01-19T12:06:46Z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C26DE6B2CEE8434290B83B15EFF9220D_13</vt:lpwstr>
  </property>
</Properties>
</file>