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1" w:name="_GoBack"/>
      <w:bookmarkEnd w:id="1"/>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标线施工询价文件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62"/>
        <w:gridCol w:w="4953"/>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395"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39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39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395"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9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打磨标线</w:t>
            </w:r>
          </w:p>
        </w:tc>
        <w:tc>
          <w:tcPr>
            <w:tcW w:w="5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路口原有人行道线、机动车道线等，</w:t>
            </w:r>
            <w:r>
              <w:rPr>
                <w:rFonts w:hint="eastAsia" w:ascii="宋体" w:hAnsi="宋体" w:eastAsia="宋体" w:cs="宋体"/>
                <w:i w:val="0"/>
                <w:iCs w:val="0"/>
                <w:color w:val="FF0000"/>
                <w:kern w:val="0"/>
                <w:sz w:val="22"/>
                <w:szCs w:val="22"/>
                <w:u w:val="none"/>
                <w:lang w:val="en-US" w:eastAsia="zh-CN" w:bidi="ar"/>
              </w:rPr>
              <w:t>详细参数见图纸。</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新增标线</w:t>
            </w:r>
          </w:p>
        </w:tc>
        <w:tc>
          <w:tcPr>
            <w:tcW w:w="5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路口新增人行横道线、车道分界线、机动车停止线等，</w:t>
            </w:r>
            <w:r>
              <w:rPr>
                <w:rFonts w:hint="eastAsia" w:ascii="宋体" w:hAnsi="宋体" w:eastAsia="宋体" w:cs="宋体"/>
                <w:i w:val="0"/>
                <w:iCs w:val="0"/>
                <w:color w:val="FF0000"/>
                <w:kern w:val="0"/>
                <w:sz w:val="22"/>
                <w:szCs w:val="22"/>
                <w:u w:val="none"/>
                <w:lang w:val="en-US" w:eastAsia="zh-CN" w:bidi="ar"/>
              </w:rPr>
              <w:t>详细参数见图纸。</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彩色沥青层</w:t>
            </w:r>
          </w:p>
        </w:tc>
        <w:tc>
          <w:tcPr>
            <w:tcW w:w="5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440" w:firstLineChars="200"/>
              <w:jc w:val="lef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交叉口右转危险区使用彩色沥青磨耗层警示大型车右转时驾驶人视线易被车体遮挡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形成较大盲区。同时大型车辆右转弯时，前后轮轨迹不同，导致出现“内轮差”（不同类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型车辆轴距不同，内轮差范围不同），“内轮差”范围内如有非机动车或行人，极易发生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碰擦引发交通事故。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1、力学特性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施工质量及施工能力符合国家标准《道路交通标线质量要求和检测方法》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（GB/T16311-2005）、交通行业标准《公路路基路面现场测试规程》（JTG E60—2008）、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交通行业标准《路面防滑涂料》（JT/T712-2008）等；且其产品外观、耐水性、涂层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低温抗裂性、抗滑性、凝胶时间等技术指示符合交通行业标准《路面防滑涂料》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（JT/T712-2008）中冷涂型涂料的有关规定。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2、施工工艺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路面清理——将沥青混凝土路面进行清洁打磨，确保没有污泥和其他附着物，没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有油污。对高低不平的路面进行找平处理。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边界挡板设置——将需要铺设防滑路面系统的路段分隔成一定大小的施工段，在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每个施工段四周设置满足设计厚度的模板，要坚固牢靠，接缝处粘结胶粘带，保证不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会漏浆。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胶结剂准备——将 A，B 组分按照一定的比例进行混合，强力搅拌 8～15 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使两组分颜色均匀一致，待温度达到 60 摄氏度时，摊铺到施工段。可以使用干净的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直板刮平，保证胶结剂厚度均匀，充满整个施工段，无漏点。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敷撒彩色防滑耐磨集料——将符合要求的洁净彩色防滑耐磨集料均匀敷撒在胶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结剂上，要撒满整个施工段的模板，不得用力压平，不得漏撒。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清扫——胶结剂固化之后，用扫帚或者强力吸尘器将多余的集料除去即成彩色防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滑路面。注意要将没有粘牢的集料移除。清扫时不得污染路面。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接缝和修补——接缝处，要将粘在待施工路段上的胶结剂及达不到规定厚度的路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面系统切除，直到露出沥青路面，认真除去松散的颗粒，按照前面的步骤敷设。如果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有需要修补的地方，应该使用裁纸刀或者其他工具，再不扰动周围彩色防滑路面系统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的前提下切除比待修补处大约 50mm 的路面系统，认真清理基层，然后按照前述步骤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进行修补施工。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养护——彩色防滑路面系统需要干燥，常温养护，不得洒水，一般 1～3 小时即可。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温度低时，应该适当延长养护时间。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一般情况每平米胶的用量大概在 4kg 左右，骨料的用量大概在每平米 6—6.5kg 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9"/>
        <w:numPr>
          <w:ilvl w:val="0"/>
          <w:numId w:val="3"/>
        </w:numPr>
        <w:tabs>
          <w:tab w:val="left" w:pos="2347"/>
        </w:tabs>
        <w:spacing w:line="360" w:lineRule="auto"/>
        <w:ind w:leftChars="200" w:right="524" w:rightChars="0"/>
        <w:jc w:val="center"/>
        <w:rPr>
          <w:rFonts w:hint="eastAsia"/>
          <w:sz w:val="36"/>
          <w:szCs w:val="36"/>
          <w:lang w:eastAsia="zh-CN"/>
        </w:rPr>
      </w:pPr>
      <w:r>
        <w:rPr>
          <w:rFonts w:hint="eastAsia"/>
          <w:sz w:val="36"/>
          <w:szCs w:val="36"/>
          <w:lang w:eastAsia="zh-CN"/>
        </w:rPr>
        <w:t>图纸</w:t>
      </w:r>
    </w:p>
    <w:p>
      <w:pPr>
        <w:pStyle w:val="2"/>
        <w:ind w:left="0" w:leftChars="0" w:firstLine="0" w:firstLineChars="0"/>
        <w:rPr>
          <w:rFonts w:hint="eastAsia"/>
          <w:lang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r>
        <w:rPr>
          <w:rFonts w:hint="eastAsia"/>
          <w:lang w:eastAsia="zh-CN"/>
        </w:rPr>
        <w:drawing>
          <wp:inline distT="0" distB="0" distL="114300" distR="114300">
            <wp:extent cx="5939155" cy="4126230"/>
            <wp:effectExtent l="0" t="0" r="4445" b="7620"/>
            <wp:docPr id="12" name="图片 12" descr="标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标线1"/>
                    <pic:cNvPicPr>
                      <a:picLocks noChangeAspect="1"/>
                    </pic:cNvPicPr>
                  </pic:nvPicPr>
                  <pic:blipFill>
                    <a:blip r:embed="rId8"/>
                    <a:stretch>
                      <a:fillRect/>
                    </a:stretch>
                  </pic:blipFill>
                  <pic:spPr>
                    <a:xfrm>
                      <a:off x="0" y="0"/>
                      <a:ext cx="5939155" cy="4126230"/>
                    </a:xfrm>
                    <a:prstGeom prst="rect">
                      <a:avLst/>
                    </a:prstGeom>
                  </pic:spPr>
                </pic:pic>
              </a:graphicData>
            </a:graphic>
          </wp:inline>
        </w:drawing>
      </w:r>
      <w:r>
        <w:rPr>
          <w:rFonts w:hint="eastAsia"/>
          <w:lang w:eastAsia="zh-CN"/>
        </w:rPr>
        <w:drawing>
          <wp:inline distT="0" distB="0" distL="114300" distR="114300">
            <wp:extent cx="5932170" cy="4118610"/>
            <wp:effectExtent l="0" t="0" r="11430" b="15240"/>
            <wp:docPr id="11" name="图片 11" descr="标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标线2"/>
                    <pic:cNvPicPr>
                      <a:picLocks noChangeAspect="1"/>
                    </pic:cNvPicPr>
                  </pic:nvPicPr>
                  <pic:blipFill>
                    <a:blip r:embed="rId9"/>
                    <a:stretch>
                      <a:fillRect/>
                    </a:stretch>
                  </pic:blipFill>
                  <pic:spPr>
                    <a:xfrm>
                      <a:off x="0" y="0"/>
                      <a:ext cx="5932170" cy="4118610"/>
                    </a:xfrm>
                    <a:prstGeom prst="rect">
                      <a:avLst/>
                    </a:prstGeom>
                  </pic:spPr>
                </pic:pic>
              </a:graphicData>
            </a:graphic>
          </wp:inline>
        </w:drawing>
      </w:r>
    </w:p>
    <w:p>
      <w:pPr>
        <w:pStyle w:val="9"/>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五、</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4"/>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3"/>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3"/>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3"/>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3"/>
              <w:rPr>
                <w:sz w:val="24"/>
                <w:szCs w:val="24"/>
                <w:vertAlign w:val="baseline"/>
              </w:rPr>
            </w:pPr>
          </w:p>
        </w:tc>
        <w:tc>
          <w:tcPr>
            <w:tcW w:w="2609" w:type="dxa"/>
          </w:tcPr>
          <w:p>
            <w:pPr>
              <w:pStyle w:val="3"/>
              <w:rPr>
                <w:sz w:val="24"/>
                <w:szCs w:val="24"/>
                <w:vertAlign w:val="baseline"/>
              </w:rPr>
            </w:pPr>
          </w:p>
        </w:tc>
        <w:tc>
          <w:tcPr>
            <w:tcW w:w="1137" w:type="dxa"/>
          </w:tcPr>
          <w:p>
            <w:pPr>
              <w:pStyle w:val="3"/>
              <w:rPr>
                <w:sz w:val="24"/>
                <w:szCs w:val="24"/>
                <w:vertAlign w:val="baseline"/>
              </w:rPr>
            </w:pPr>
          </w:p>
        </w:tc>
        <w:tc>
          <w:tcPr>
            <w:tcW w:w="780" w:type="dxa"/>
          </w:tcPr>
          <w:p>
            <w:pPr>
              <w:pStyle w:val="3"/>
              <w:rPr>
                <w:sz w:val="24"/>
                <w:szCs w:val="24"/>
                <w:vertAlign w:val="baseline"/>
              </w:rPr>
            </w:pPr>
          </w:p>
        </w:tc>
        <w:tc>
          <w:tcPr>
            <w:tcW w:w="941" w:type="dxa"/>
          </w:tcPr>
          <w:p>
            <w:pPr>
              <w:pStyle w:val="3"/>
              <w:rPr>
                <w:sz w:val="24"/>
                <w:szCs w:val="24"/>
                <w:vertAlign w:val="baseline"/>
              </w:rPr>
            </w:pPr>
          </w:p>
        </w:tc>
        <w:tc>
          <w:tcPr>
            <w:tcW w:w="886" w:type="dxa"/>
          </w:tcPr>
          <w:p>
            <w:pPr>
              <w:pStyle w:val="3"/>
              <w:rPr>
                <w:sz w:val="24"/>
                <w:szCs w:val="24"/>
                <w:vertAlign w:val="baseline"/>
              </w:rPr>
            </w:pPr>
          </w:p>
        </w:tc>
        <w:tc>
          <w:tcPr>
            <w:tcW w:w="737" w:type="dxa"/>
          </w:tcPr>
          <w:p>
            <w:pPr>
              <w:pStyle w:val="3"/>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3"/>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4"/>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5"/>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7"/>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2"/>
        <w:rPr>
          <w:rFonts w:hint="eastAsia"/>
          <w:lang w:val="en-US" w:eastAsia="zh-CN"/>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7"/>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7"/>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9"/>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p>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58B87A53"/>
    <w:multiLevelType w:val="singleLevel"/>
    <w:tmpl w:val="58B87A53"/>
    <w:lvl w:ilvl="0" w:tentative="0">
      <w:start w:val="4"/>
      <w:numFmt w:val="chineseCounting"/>
      <w:suff w:val="nothing"/>
      <w:lvlText w:val="%1、"/>
      <w:lvlJc w:val="left"/>
      <w:rPr>
        <w:rFonts w:hint="eastAsia"/>
      </w:rPr>
    </w:lvl>
  </w:abstractNum>
  <w:abstractNum w:abstractNumId="2">
    <w:nsid w:val="5A12832D"/>
    <w:multiLevelType w:val="singleLevel"/>
    <w:tmpl w:val="5A12832D"/>
    <w:lvl w:ilvl="0" w:tentative="0">
      <w:start w:val="2"/>
      <w:numFmt w:val="decimal"/>
      <w:suff w:val="nothing"/>
      <w:lvlText w:val="%1、"/>
      <w:lvlJc w:val="left"/>
    </w:lvl>
  </w:abstractNum>
  <w:abstractNum w:abstractNumId="3">
    <w:nsid w:val="6182A84B"/>
    <w:multiLevelType w:val="singleLevel"/>
    <w:tmpl w:val="6182A84B"/>
    <w:lvl w:ilvl="0" w:tentative="0">
      <w:start w:val="2"/>
      <w:numFmt w:val="decimal"/>
      <w:suff w:val="nothing"/>
      <w:lvlText w:val="%1、"/>
      <w:lvlJc w:val="left"/>
    </w:lvl>
  </w:abstractNum>
  <w:abstractNum w:abstractNumId="4">
    <w:nsid w:val="717908CD"/>
    <w:multiLevelType w:val="singleLevel"/>
    <w:tmpl w:val="717908CD"/>
    <w:lvl w:ilvl="0" w:tentative="0">
      <w:start w:val="1"/>
      <w:numFmt w:val="decimal"/>
      <w:suff w:val="nothing"/>
      <w:lvlText w:val="%1、"/>
      <w:lvlJc w:val="left"/>
    </w:lvl>
  </w:abstractNum>
  <w:abstractNum w:abstractNumId="5">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6">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BC2638F"/>
    <w:rsid w:val="0BDC6B78"/>
    <w:rsid w:val="0D78696A"/>
    <w:rsid w:val="0DBF30C4"/>
    <w:rsid w:val="100159F1"/>
    <w:rsid w:val="104E486C"/>
    <w:rsid w:val="138B678C"/>
    <w:rsid w:val="15B405D8"/>
    <w:rsid w:val="18A516FB"/>
    <w:rsid w:val="193251CA"/>
    <w:rsid w:val="1B2D7691"/>
    <w:rsid w:val="1B811C42"/>
    <w:rsid w:val="1F741D8C"/>
    <w:rsid w:val="1F9757E1"/>
    <w:rsid w:val="1FC0011B"/>
    <w:rsid w:val="25DE44B5"/>
    <w:rsid w:val="264801BD"/>
    <w:rsid w:val="2B9E5DD1"/>
    <w:rsid w:val="2E1B2848"/>
    <w:rsid w:val="2EE60C25"/>
    <w:rsid w:val="300D6BCC"/>
    <w:rsid w:val="39963E4D"/>
    <w:rsid w:val="3D984907"/>
    <w:rsid w:val="46AE2EAA"/>
    <w:rsid w:val="48832749"/>
    <w:rsid w:val="4A0E06F8"/>
    <w:rsid w:val="4BB038DA"/>
    <w:rsid w:val="50417986"/>
    <w:rsid w:val="57A86680"/>
    <w:rsid w:val="57DB3B40"/>
    <w:rsid w:val="59BE6F5A"/>
    <w:rsid w:val="5BBF6D32"/>
    <w:rsid w:val="5CA61E20"/>
    <w:rsid w:val="614F4B26"/>
    <w:rsid w:val="61852A60"/>
    <w:rsid w:val="64A92B09"/>
    <w:rsid w:val="64B30874"/>
    <w:rsid w:val="69FD1FFD"/>
    <w:rsid w:val="6BB31049"/>
    <w:rsid w:val="6CF430F2"/>
    <w:rsid w:val="6E5513DF"/>
    <w:rsid w:val="6F575DD1"/>
    <w:rsid w:val="70155795"/>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21"/>
    <w:basedOn w:val="25"/>
    <w:autoRedefine/>
    <w:qFormat/>
    <w:uiPriority w:val="0"/>
    <w:rPr>
      <w:rFonts w:hint="eastAsia" w:ascii="宋体" w:hAnsi="宋体" w:eastAsia="宋体" w:cs="宋体"/>
      <w:color w:val="FF0000"/>
      <w:sz w:val="20"/>
      <w:szCs w:val="20"/>
      <w:u w:val="none"/>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2024-01-19T12:06:47Z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194167AE78C64371991A810B596438B5_13</vt:lpwstr>
  </property>
</Properties>
</file>