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4"/>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4"/>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4"/>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4"/>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劳务施工询价文件</w:t>
      </w:r>
    </w:p>
    <w:p>
      <w:pPr>
        <w:pStyle w:val="4"/>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4"/>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4"/>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4"/>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4"/>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4"/>
        <w:rPr>
          <w:rFonts w:hint="eastAsia" w:ascii="仿宋" w:hAnsi="仿宋" w:eastAsia="仿宋" w:cs="仿宋"/>
          <w:sz w:val="28"/>
          <w:szCs w:val="28"/>
        </w:rPr>
      </w:pPr>
    </w:p>
    <w:p>
      <w:pPr>
        <w:pStyle w:val="4"/>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4"/>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4"/>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4"/>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4"/>
        <w:rPr>
          <w:rFonts w:hint="eastAsia"/>
        </w:rPr>
        <w:sectPr>
          <w:pgSz w:w="11906" w:h="16838"/>
          <w:pgMar w:top="1440" w:right="1800" w:bottom="1440" w:left="1800" w:header="851" w:footer="992" w:gutter="0"/>
          <w:cols w:space="425" w:num="1"/>
          <w:docGrid w:type="lines" w:linePitch="312" w:charSpace="0"/>
        </w:sectPr>
      </w:pPr>
    </w:p>
    <w:p>
      <w:pPr>
        <w:pStyle w:val="4"/>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3"/>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6"/>
        <w:gridCol w:w="1560"/>
        <w:gridCol w:w="4019"/>
        <w:gridCol w:w="1076"/>
        <w:gridCol w:w="703"/>
        <w:gridCol w:w="473"/>
        <w:gridCol w:w="1078"/>
        <w:gridCol w:w="1078"/>
        <w:gridCol w:w="1078"/>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Style w:val="29"/>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2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枪型摄像机</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摄像机安装调试</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半球摄像机</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摄像机安装调试</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球机</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摄像机安装调试</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网线敷设</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光缆敷设</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光纤熔接</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含终端盒、尾纤</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芯</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光模块</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POE交换机</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POE交换机</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核心交换机</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电源线</w:t>
            </w:r>
            <w:r>
              <w:rPr>
                <w:rFonts w:hint="eastAsia" w:ascii="宋体" w:hAnsi="宋体" w:cs="宋体"/>
                <w:i w:val="0"/>
                <w:iCs w:val="0"/>
                <w:color w:val="000000"/>
                <w:kern w:val="0"/>
                <w:sz w:val="24"/>
                <w:szCs w:val="24"/>
                <w:u w:val="none"/>
                <w:lang w:val="en-US" w:eastAsia="zh-CN" w:bidi="ar"/>
              </w:rPr>
              <w:t>敷设</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3.5米</w:t>
            </w:r>
            <w:bookmarkStart w:id="1" w:name="_GoBack"/>
            <w:bookmarkEnd w:id="1"/>
            <w:r>
              <w:rPr>
                <w:rFonts w:hint="eastAsia" w:ascii="宋体" w:hAnsi="宋体" w:eastAsia="宋体" w:cs="宋体"/>
                <w:i w:val="0"/>
                <w:iCs w:val="0"/>
                <w:color w:val="000000"/>
                <w:kern w:val="0"/>
                <w:sz w:val="24"/>
                <w:szCs w:val="24"/>
                <w:u w:val="none"/>
                <w:lang w:val="en-US" w:eastAsia="zh-CN" w:bidi="ar"/>
              </w:rPr>
              <w:t>监控立杆</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含基础开挖、垃圾清运、立杆、运费、混凝土</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汇集箱</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含基础开挖、垃圾清运、安装、混凝土</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32路监控主机</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50寸电视机</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含支架安装</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监控硬盘</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一个月存储</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PE管材</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含现场绿化开挖及路面切割</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机房整理</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需现场勘查</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14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0"/>
                <w:lang w:val="en-US" w:eastAsia="zh-CN" w:bidi="ar"/>
              </w:rPr>
              <w:t>合计：</w:t>
            </w:r>
            <w:r>
              <w:rPr>
                <w:rStyle w:val="31"/>
                <w:lang w:val="en-US" w:eastAsia="zh-CN" w:bidi="ar"/>
              </w:rPr>
              <w:t xml:space="preserve">          </w:t>
            </w:r>
            <w:r>
              <w:rPr>
                <w:rStyle w:val="3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 xml:space="preserve">是否接受保证金（控制价的2%）           </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FF0000"/>
                <w:sz w:val="24"/>
                <w:szCs w:val="24"/>
                <w:u w:val="none"/>
              </w:rPr>
            </w:pPr>
          </w:p>
        </w:tc>
        <w:tc>
          <w:tcPr>
            <w:tcW w:w="1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是否接受履约保证金（成交金额的10%）</w:t>
            </w:r>
          </w:p>
        </w:tc>
        <w:tc>
          <w:tcPr>
            <w:tcW w:w="4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 xml:space="preserve">质保期：             </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FF0000"/>
                <w:sz w:val="24"/>
                <w:szCs w:val="24"/>
                <w:u w:val="none"/>
              </w:rPr>
            </w:pPr>
          </w:p>
        </w:tc>
        <w:tc>
          <w:tcPr>
            <w:tcW w:w="1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报价有效期：</w:t>
            </w:r>
          </w:p>
        </w:tc>
        <w:tc>
          <w:tcPr>
            <w:tcW w:w="4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 xml:space="preserve">供货期：             </w:t>
            </w:r>
          </w:p>
        </w:tc>
        <w:tc>
          <w:tcPr>
            <w:tcW w:w="40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FF0000"/>
                <w:sz w:val="24"/>
                <w:szCs w:val="24"/>
                <w:u w:val="none"/>
              </w:rPr>
            </w:pPr>
          </w:p>
        </w:tc>
        <w:tc>
          <w:tcPr>
            <w:tcW w:w="1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Style w:val="32"/>
                <w:lang w:val="en-US" w:eastAsia="zh-CN" w:bidi="ar"/>
              </w:rPr>
              <w:t>付款方式</w:t>
            </w:r>
          </w:p>
        </w:tc>
        <w:tc>
          <w:tcPr>
            <w:tcW w:w="4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Style w:val="33"/>
                <w:rFonts w:hint="eastAsia"/>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p>
      <w:pPr>
        <w:pStyle w:val="14"/>
        <w:rPr>
          <w:rFonts w:hint="eastAsia"/>
        </w:rPr>
        <w:sectPr>
          <w:pgSz w:w="16838" w:h="11906" w:orient="landscape"/>
          <w:pgMar w:top="1800" w:right="1440" w:bottom="1800" w:left="1440" w:header="851" w:footer="992" w:gutter="0"/>
          <w:cols w:space="425" w:num="1"/>
          <w:docGrid w:type="lines" w:linePitch="312" w:charSpace="0"/>
        </w:sectPr>
      </w:pPr>
    </w:p>
    <w:p>
      <w:pPr>
        <w:pStyle w:val="4"/>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四、</w:t>
      </w:r>
      <w:r>
        <w:rPr>
          <w:sz w:val="36"/>
          <w:szCs w:val="36"/>
        </w:rPr>
        <w:t>合同条款及格式</w:t>
      </w:r>
    </w:p>
    <w:p>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pPr>
              <w:pStyle w:val="21"/>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pPr>
              <w:pStyle w:val="21"/>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pPr>
              <w:pStyle w:val="21"/>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1"/>
              <w:rPr>
                <w:sz w:val="24"/>
                <w:szCs w:val="24"/>
                <w:vertAlign w:val="baseline"/>
              </w:rPr>
            </w:pPr>
          </w:p>
        </w:tc>
        <w:tc>
          <w:tcPr>
            <w:tcW w:w="2609" w:type="dxa"/>
          </w:tcPr>
          <w:p>
            <w:pPr>
              <w:pStyle w:val="21"/>
              <w:rPr>
                <w:sz w:val="24"/>
                <w:szCs w:val="24"/>
                <w:vertAlign w:val="baseline"/>
              </w:rPr>
            </w:pPr>
          </w:p>
        </w:tc>
        <w:tc>
          <w:tcPr>
            <w:tcW w:w="1137" w:type="dxa"/>
          </w:tcPr>
          <w:p>
            <w:pPr>
              <w:pStyle w:val="21"/>
              <w:rPr>
                <w:sz w:val="24"/>
                <w:szCs w:val="24"/>
                <w:vertAlign w:val="baseline"/>
              </w:rPr>
            </w:pPr>
          </w:p>
        </w:tc>
        <w:tc>
          <w:tcPr>
            <w:tcW w:w="780" w:type="dxa"/>
          </w:tcPr>
          <w:p>
            <w:pPr>
              <w:pStyle w:val="21"/>
              <w:rPr>
                <w:sz w:val="24"/>
                <w:szCs w:val="24"/>
                <w:vertAlign w:val="baseline"/>
              </w:rPr>
            </w:pPr>
          </w:p>
        </w:tc>
        <w:tc>
          <w:tcPr>
            <w:tcW w:w="941" w:type="dxa"/>
          </w:tcPr>
          <w:p>
            <w:pPr>
              <w:pStyle w:val="21"/>
              <w:rPr>
                <w:sz w:val="24"/>
                <w:szCs w:val="24"/>
                <w:vertAlign w:val="baseline"/>
              </w:rPr>
            </w:pPr>
          </w:p>
        </w:tc>
        <w:tc>
          <w:tcPr>
            <w:tcW w:w="886" w:type="dxa"/>
          </w:tcPr>
          <w:p>
            <w:pPr>
              <w:pStyle w:val="21"/>
              <w:rPr>
                <w:sz w:val="24"/>
                <w:szCs w:val="24"/>
                <w:vertAlign w:val="baseline"/>
              </w:rPr>
            </w:pPr>
          </w:p>
        </w:tc>
        <w:tc>
          <w:tcPr>
            <w:tcW w:w="737" w:type="dxa"/>
          </w:tcPr>
          <w:p>
            <w:pPr>
              <w:pStyle w:val="21"/>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8" w:type="dxa"/>
            <w:gridSpan w:val="7"/>
          </w:tcPr>
          <w:p>
            <w:pPr>
              <w:pStyle w:val="21"/>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30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pPr>
        <w:spacing w:line="440" w:lineRule="exact"/>
        <w:rPr>
          <w:rFonts w:hint="eastAsia"/>
          <w:lang w:val="en-US" w:eastAsia="zh-CN"/>
        </w:rPr>
      </w:pPr>
      <w:r>
        <w:rPr>
          <w:rFonts w:hint="eastAsia" w:ascii="宋体" w:hAnsi="宋体" w:eastAsia="宋体"/>
          <w:b/>
          <w:sz w:val="24"/>
          <w:szCs w:val="24"/>
        </w:rPr>
        <w:t>签订时间：                               签订时间：</w:t>
      </w:r>
    </w:p>
    <w:p>
      <w:pPr>
        <w:pStyle w:val="14"/>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2"/>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pPr>
        <w:pStyle w:val="12"/>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20"/>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20"/>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28"/>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80"/>
    </w:pPr>
  </w:p>
  <w:p>
    <w:pPr>
      <w:pStyle w:val="18"/>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4"/>
      <w:isLgl/>
      <w:lvlText w:val="%1.%2."/>
      <w:lvlJc w:val="left"/>
      <w:pPr>
        <w:ind w:left="567" w:hanging="567"/>
      </w:pPr>
      <w:rPr>
        <w:rFonts w:hint="eastAsia" w:ascii="宋体" w:hAnsi="宋体" w:eastAsia="宋体" w:cs="宋体"/>
      </w:rPr>
    </w:lvl>
    <w:lvl w:ilvl="2" w:tentative="0">
      <w:start w:val="1"/>
      <w:numFmt w:val="decimal"/>
      <w:pStyle w:val="5"/>
      <w:isLgl/>
      <w:lvlText w:val="%1.%2.%3."/>
      <w:lvlJc w:val="left"/>
      <w:pPr>
        <w:ind w:left="709" w:hanging="709"/>
      </w:pPr>
      <w:rPr>
        <w:rFonts w:hint="eastAsia" w:ascii="宋体" w:hAnsi="宋体" w:eastAsia="宋体" w:cs="宋体"/>
      </w:rPr>
    </w:lvl>
    <w:lvl w:ilvl="3" w:tentative="0">
      <w:start w:val="1"/>
      <w:numFmt w:val="decimal"/>
      <w:pStyle w:val="6"/>
      <w:isLgl/>
      <w:lvlText w:val="%1.%2.%3.%4."/>
      <w:lvlJc w:val="left"/>
      <w:pPr>
        <w:ind w:left="850" w:hanging="850"/>
      </w:pPr>
      <w:rPr>
        <w:rFonts w:hint="eastAsia" w:ascii="宋体" w:hAnsi="宋体" w:eastAsia="宋体" w:cs="宋体"/>
      </w:rPr>
    </w:lvl>
    <w:lvl w:ilvl="4" w:tentative="0">
      <w:start w:val="1"/>
      <w:numFmt w:val="decimal"/>
      <w:pStyle w:val="7"/>
      <w:isLgl/>
      <w:lvlText w:val="%1.%2.%3.%4.%5."/>
      <w:lvlJc w:val="left"/>
      <w:pPr>
        <w:ind w:left="991" w:hanging="991"/>
      </w:pPr>
      <w:rPr>
        <w:rFonts w:hint="eastAsia" w:ascii="宋体" w:hAnsi="宋体" w:eastAsia="宋体" w:cs="宋体"/>
      </w:rPr>
    </w:lvl>
    <w:lvl w:ilvl="5" w:tentative="0">
      <w:start w:val="1"/>
      <w:numFmt w:val="decimal"/>
      <w:pStyle w:val="8"/>
      <w:isLgl/>
      <w:lvlText w:val="%1.%2.%3.%4.%5.%6."/>
      <w:lvlJc w:val="left"/>
      <w:pPr>
        <w:ind w:left="1134" w:hanging="1134"/>
      </w:pPr>
      <w:rPr>
        <w:rFonts w:hint="eastAsia" w:ascii="宋体" w:hAnsi="宋体" w:eastAsia="宋体" w:cs="宋体"/>
      </w:rPr>
    </w:lvl>
    <w:lvl w:ilvl="6" w:tentative="0">
      <w:start w:val="1"/>
      <w:numFmt w:val="decimal"/>
      <w:pStyle w:val="9"/>
      <w:isLgl/>
      <w:lvlText w:val="%1.%2.%3.%4.%5.%6.%7."/>
      <w:lvlJc w:val="left"/>
      <w:pPr>
        <w:ind w:left="1275" w:hanging="1275"/>
      </w:pPr>
      <w:rPr>
        <w:rFonts w:hint="eastAsia" w:ascii="宋体" w:hAnsi="宋体" w:eastAsia="宋体" w:cs="宋体"/>
      </w:rPr>
    </w:lvl>
    <w:lvl w:ilvl="7" w:tentative="0">
      <w:start w:val="1"/>
      <w:numFmt w:val="decimal"/>
      <w:pStyle w:val="10"/>
      <w:isLgl/>
      <w:lvlText w:val="%1.%2.%3.%4.%5.%6.%7.%8."/>
      <w:lvlJc w:val="left"/>
      <w:pPr>
        <w:ind w:left="1418" w:hanging="1418"/>
      </w:pPr>
      <w:rPr>
        <w:rFonts w:hint="eastAsia" w:ascii="宋体" w:hAnsi="宋体" w:eastAsia="宋体" w:cs="宋体"/>
      </w:rPr>
    </w:lvl>
    <w:lvl w:ilvl="8" w:tentative="0">
      <w:start w:val="1"/>
      <w:numFmt w:val="decimal"/>
      <w:pStyle w:val="11"/>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E65ABA"/>
    <w:rsid w:val="082F30B8"/>
    <w:rsid w:val="0BC2638F"/>
    <w:rsid w:val="0D78696A"/>
    <w:rsid w:val="0DBF30C4"/>
    <w:rsid w:val="100159F1"/>
    <w:rsid w:val="15B405D8"/>
    <w:rsid w:val="17F03948"/>
    <w:rsid w:val="193251CA"/>
    <w:rsid w:val="1C3E1701"/>
    <w:rsid w:val="1CBB157E"/>
    <w:rsid w:val="1F741D8C"/>
    <w:rsid w:val="1FC0011B"/>
    <w:rsid w:val="239C7D86"/>
    <w:rsid w:val="250D2B25"/>
    <w:rsid w:val="25DE44B5"/>
    <w:rsid w:val="264801BD"/>
    <w:rsid w:val="2B9E5DD1"/>
    <w:rsid w:val="2E1B2848"/>
    <w:rsid w:val="2E625B5C"/>
    <w:rsid w:val="300D6BCC"/>
    <w:rsid w:val="3D5B5D70"/>
    <w:rsid w:val="464943C9"/>
    <w:rsid w:val="46AE2EAA"/>
    <w:rsid w:val="4A0E06F8"/>
    <w:rsid w:val="4BB038DA"/>
    <w:rsid w:val="4D5932DD"/>
    <w:rsid w:val="50076B1F"/>
    <w:rsid w:val="50417986"/>
    <w:rsid w:val="52845C1D"/>
    <w:rsid w:val="558E406A"/>
    <w:rsid w:val="57DB3B40"/>
    <w:rsid w:val="596D654F"/>
    <w:rsid w:val="5BBF6D32"/>
    <w:rsid w:val="61852A60"/>
    <w:rsid w:val="69FD1FFD"/>
    <w:rsid w:val="6BB31049"/>
    <w:rsid w:val="71E07B02"/>
    <w:rsid w:val="721001E1"/>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4">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2">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3">
    <w:name w:val="toa heading"/>
    <w:basedOn w:val="1"/>
    <w:next w:val="1"/>
    <w:qFormat/>
    <w:uiPriority w:val="0"/>
    <w:pPr>
      <w:spacing w:before="120"/>
    </w:pPr>
    <w:rPr>
      <w:rFonts w:ascii="Arial" w:hAnsi="Arial"/>
      <w:sz w:val="24"/>
    </w:rPr>
  </w:style>
  <w:style w:type="paragraph" w:styleId="14">
    <w:name w:val="Body Text"/>
    <w:basedOn w:val="1"/>
    <w:next w:val="1"/>
    <w:unhideWhenUsed/>
    <w:qFormat/>
    <w:uiPriority w:val="99"/>
    <w:pPr>
      <w:spacing w:after="120"/>
    </w:pPr>
    <w:rPr>
      <w:sz w:val="28"/>
    </w:rPr>
  </w:style>
  <w:style w:type="paragraph" w:styleId="15">
    <w:name w:val="Body Text Indent"/>
    <w:basedOn w:val="1"/>
    <w:qFormat/>
    <w:uiPriority w:val="99"/>
    <w:pPr>
      <w:spacing w:after="120"/>
      <w:ind w:left="420" w:leftChars="200"/>
    </w:pPr>
  </w:style>
  <w:style w:type="paragraph" w:styleId="16">
    <w:name w:val="Plain Text"/>
    <w:basedOn w:val="1"/>
    <w:next w:val="17"/>
    <w:unhideWhenUsed/>
    <w:qFormat/>
    <w:uiPriority w:val="0"/>
    <w:rPr>
      <w:rFonts w:ascii="宋体" w:hAnsi="Courier New"/>
      <w:szCs w:val="20"/>
    </w:r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Normal (Web)"/>
    <w:basedOn w:val="1"/>
    <w:qFormat/>
    <w:uiPriority w:val="0"/>
    <w:rPr>
      <w:sz w:val="24"/>
    </w:rPr>
  </w:style>
  <w:style w:type="paragraph" w:styleId="21">
    <w:name w:val="Body Text First Indent"/>
    <w:basedOn w:val="1"/>
    <w:next w:val="22"/>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2">
    <w:name w:val="Body Text First Indent 2"/>
    <w:basedOn w:val="15"/>
    <w:qFormat/>
    <w:uiPriority w:val="99"/>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0"/>
    <w:rPr>
      <w:color w:val="0000FF"/>
      <w:u w:val="single"/>
    </w:rPr>
  </w:style>
  <w:style w:type="paragraph" w:customStyle="1" w:styleId="27">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8">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29">
    <w:name w:val="font11"/>
    <w:basedOn w:val="25"/>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21"/>
    <w:basedOn w:val="25"/>
    <w:qFormat/>
    <w:uiPriority w:val="0"/>
    <w:rPr>
      <w:rFonts w:hint="eastAsia" w:ascii="宋体" w:hAnsi="宋体" w:eastAsia="宋体" w:cs="宋体"/>
      <w:color w:val="000000"/>
      <w:sz w:val="24"/>
      <w:szCs w:val="24"/>
      <w:u w:val="none"/>
    </w:rPr>
  </w:style>
  <w:style w:type="character" w:customStyle="1" w:styleId="31">
    <w:name w:val="font91"/>
    <w:basedOn w:val="25"/>
    <w:qFormat/>
    <w:uiPriority w:val="0"/>
    <w:rPr>
      <w:rFonts w:hint="eastAsia" w:ascii="宋体" w:hAnsi="宋体" w:eastAsia="宋体" w:cs="宋体"/>
      <w:color w:val="000000"/>
      <w:sz w:val="24"/>
      <w:szCs w:val="24"/>
      <w:u w:val="single"/>
    </w:rPr>
  </w:style>
  <w:style w:type="character" w:customStyle="1" w:styleId="32">
    <w:name w:val="font81"/>
    <w:basedOn w:val="25"/>
    <w:qFormat/>
    <w:uiPriority w:val="0"/>
    <w:rPr>
      <w:rFonts w:hint="eastAsia" w:ascii="黑体" w:hAnsi="宋体" w:eastAsia="黑体" w:cs="黑体"/>
      <w:color w:val="000000"/>
      <w:sz w:val="24"/>
      <w:szCs w:val="24"/>
      <w:u w:val="none"/>
    </w:rPr>
  </w:style>
  <w:style w:type="character" w:customStyle="1" w:styleId="33">
    <w:name w:val="font71"/>
    <w:basedOn w:val="25"/>
    <w:qFormat/>
    <w:uiPriority w:val="0"/>
    <w:rPr>
      <w:rFonts w:hint="eastAsia" w:ascii="黑体" w:hAnsi="宋体" w:eastAsia="黑体" w:cs="黑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2023-12-13T01:21:36Z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04F796F014BB4F18B93CCA24965521AE_13</vt:lpwstr>
  </property>
</Properties>
</file>