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bookmarkStart w:id="0" w:name="_GoBack"/>
      <w:bookmarkEnd w:id="0"/>
    </w:p>
    <w:p>
      <w:pPr>
        <w:rPr>
          <w:rFonts w:hint="eastAsia"/>
          <w:lang w:val="en-US" w:eastAsia="zh-CN"/>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硬盘询价文件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282"/>
        <w:gridCol w:w="5033"/>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67"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475"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6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475"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6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475"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6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475"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6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475"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4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品牌型号</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4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16T硬盘</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西部数据WD161KFGX,红盘PRO 16TB 7200转512MB SATA CMR</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五年</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全额付款后发货</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1、合同签订后甲方安排货款，乙方收到全额货款后发货。</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3626CD0"/>
    <w:rsid w:val="03BB36BB"/>
    <w:rsid w:val="06E65ABA"/>
    <w:rsid w:val="082F30B8"/>
    <w:rsid w:val="0BC2638F"/>
    <w:rsid w:val="0BDC6B78"/>
    <w:rsid w:val="0C77112C"/>
    <w:rsid w:val="0D78696A"/>
    <w:rsid w:val="0DBF30C4"/>
    <w:rsid w:val="0F871BA5"/>
    <w:rsid w:val="100159F1"/>
    <w:rsid w:val="10941E2C"/>
    <w:rsid w:val="138B678C"/>
    <w:rsid w:val="15B405D8"/>
    <w:rsid w:val="193251CA"/>
    <w:rsid w:val="1B811C42"/>
    <w:rsid w:val="1CBE542C"/>
    <w:rsid w:val="1F741D8C"/>
    <w:rsid w:val="1FC0011B"/>
    <w:rsid w:val="245503E6"/>
    <w:rsid w:val="25DE44B5"/>
    <w:rsid w:val="264801BD"/>
    <w:rsid w:val="26A67AF4"/>
    <w:rsid w:val="292E08DE"/>
    <w:rsid w:val="2B9E5DD1"/>
    <w:rsid w:val="2E1B2848"/>
    <w:rsid w:val="300D6BCC"/>
    <w:rsid w:val="31140310"/>
    <w:rsid w:val="345319C9"/>
    <w:rsid w:val="39963E4D"/>
    <w:rsid w:val="3C135FD8"/>
    <w:rsid w:val="40EE468E"/>
    <w:rsid w:val="420E65EA"/>
    <w:rsid w:val="46AE2EAA"/>
    <w:rsid w:val="48832749"/>
    <w:rsid w:val="4A0E06F8"/>
    <w:rsid w:val="4BB038DA"/>
    <w:rsid w:val="4E802F1D"/>
    <w:rsid w:val="50417986"/>
    <w:rsid w:val="5316709E"/>
    <w:rsid w:val="55C6645F"/>
    <w:rsid w:val="57DB3B40"/>
    <w:rsid w:val="5BBF6D32"/>
    <w:rsid w:val="5CA61E20"/>
    <w:rsid w:val="61852A60"/>
    <w:rsid w:val="62567581"/>
    <w:rsid w:val="69FD1FFD"/>
    <w:rsid w:val="6BB31049"/>
    <w:rsid w:val="6BF15785"/>
    <w:rsid w:val="6CF430F2"/>
    <w:rsid w:val="6F575DD1"/>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8"/>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unhideWhenUsed/>
    <w:qFormat/>
    <w:uiPriority w:val="0"/>
    <w:rPr>
      <w:rFonts w:ascii="宋体" w:hAnsi="Courier New"/>
      <w:szCs w:val="20"/>
    </w:rPr>
  </w:style>
  <w:style w:type="paragraph" w:styleId="19">
    <w:name w:val="Normal (Web)"/>
    <w:basedOn w:val="1"/>
    <w:qFormat/>
    <w:uiPriority w:val="0"/>
    <w:rPr>
      <w:sz w:val="24"/>
    </w:rPr>
  </w:style>
  <w:style w:type="character" w:styleId="22">
    <w:name w:val="Hyperlink"/>
    <w:basedOn w:val="21"/>
    <w:qFormat/>
    <w:uiPriority w:val="0"/>
    <w:rPr>
      <w:color w:val="0000FF"/>
      <w:u w:val="single"/>
    </w:rPr>
  </w:style>
  <w:style w:type="paragraph" w:customStyle="1" w:styleId="23">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2023-12-07T01:44:58Z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1AF527E636B74284A443C1058F0B9D2E_13</vt:lpwstr>
  </property>
</Properties>
</file>