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bookmarkStart w:id="0" w:name="_GoBack"/>
      <w:bookmarkEnd w:id="0"/>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劳务施工询价文件</w:t>
      </w: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8"/>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8"/>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w:t>
      </w:r>
      <w:r>
        <w:rPr>
          <w:rFonts w:hint="eastAsia" w:ascii="仿宋" w:hAnsi="仿宋" w:eastAsia="仿宋" w:cs="仿宋"/>
          <w:sz w:val="28"/>
          <w:szCs w:val="28"/>
          <w:highlight w:val="none"/>
          <w:u w:val="single"/>
        </w:rPr>
        <w:t xml:space="preserve">    万</w:t>
      </w:r>
      <w:r>
        <w:rPr>
          <w:rFonts w:hint="eastAsia" w:ascii="仿宋" w:hAnsi="仿宋" w:eastAsia="仿宋" w:cs="仿宋"/>
          <w:sz w:val="28"/>
          <w:szCs w:val="28"/>
          <w:highlight w:val="none"/>
        </w:rPr>
        <w:t>元（RMB</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元）的报价按上述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8"/>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8"/>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8"/>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8"/>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8"/>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8"/>
        <w:numPr>
          <w:ilvl w:val="0"/>
          <w:numId w:val="0"/>
        </w:numPr>
        <w:ind w:left="0" w:leftChars="0" w:firstLine="0" w:firstLineChars="0"/>
        <w:jc w:val="left"/>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w:t>
      </w:r>
      <w:r>
        <w:rPr>
          <w:rFonts w:hint="eastAsia" w:ascii="仿宋" w:hAnsi="仿宋" w:eastAsia="仿宋" w:cs="仿宋"/>
          <w:kern w:val="0"/>
          <w:sz w:val="28"/>
          <w:szCs w:val="28"/>
          <w:lang w:val="en-US" w:eastAsia="zh-CN"/>
        </w:rPr>
        <w:t>具备有效的建筑业企业资质证书（资质类别：施工劳务）</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2230"/>
        <w:gridCol w:w="4181"/>
        <w:gridCol w:w="442"/>
        <w:gridCol w:w="743"/>
        <w:gridCol w:w="772"/>
        <w:gridCol w:w="1128"/>
        <w:gridCol w:w="874"/>
        <w:gridCol w:w="978"/>
        <w:gridCol w:w="2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623"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51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414"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623"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623"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623"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623"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项目名称</w:t>
            </w:r>
          </w:p>
        </w:tc>
        <w:tc>
          <w:tcPr>
            <w:tcW w:w="46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技术参数</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数量</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是否满足参数要求</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c>
          <w:tcPr>
            <w:tcW w:w="243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6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合价</w:t>
            </w:r>
          </w:p>
        </w:tc>
        <w:tc>
          <w:tcPr>
            <w:tcW w:w="243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一体化智能机柜安装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柜体搬运及安装；主电敷设，给排水管安装及底座支架焊接等(包含材料)</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值班显示屏（竖屏）安装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55寸，1284.9mm*755.9mm*86.3mm（含壁挂架，嵌入式安装需要上下左右预留5CM）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专业视频会议摄像机安装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吊装</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会议摄像机放线</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20米HDMI高清线</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线阵音柱音箱安装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隐蔽式安装</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6.5寸吸顶天花音箱安装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吸顶安装</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融合边缘网关安装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安装及调试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智能控制面板安装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安装及调试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流光开关安装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安装及调试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智能窗帘安装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安装及调试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中央空调智控器安装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安装及调试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通用控制器安装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安装及调试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激光工程投影机安装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吊装</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玻璃正投膜安装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玻璃贴膜</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86寸触控一体机安装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86寸，1960.4 x 83.4 x 1173.7 mm（含壁挂架，嵌入式安装需要上下左右预留5CM）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98寸触控一体机安装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98寸，2219.8x1336.4x131.4mm（含壁挂架，嵌入式安装需要上下左右预留5CM）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信息面插安装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双口面板</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18</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配线架安装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24口配线架</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19</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理线架安装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1U理线架</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机柜安装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规格：600mm*800mm*2000mm</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指挥中心线缆整理及打标签</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静电地板下线缆整理，做好标记，敷设到指定位置</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vMerge w:val="restart"/>
            <w:tcBorders>
              <w:top w:val="single" w:color="000000" w:sz="4" w:space="0"/>
              <w:left w:val="single" w:color="000000" w:sz="4" w:space="0"/>
              <w:right w:val="single" w:color="000000" w:sz="8" w:space="0"/>
            </w:tcBorders>
            <w:shd w:val="clear" w:color="auto" w:fill="auto"/>
            <w:vAlign w:val="center"/>
          </w:tcPr>
          <w:p>
            <w:pPr>
              <w:ind w:left="0" w:leftChars="0" w:firstLine="0" w:firstLineChars="0"/>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FF0000"/>
                <w:kern w:val="0"/>
                <w:sz w:val="18"/>
                <w:szCs w:val="18"/>
                <w:u w:val="none"/>
                <w:lang w:val="en-US" w:eastAsia="zh-CN" w:bidi="ar"/>
              </w:rPr>
              <w:t>此2项现场情况复杂，报价前与我公司联系，如未联系导致费用核算不准确由供应商自行承担。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机柜拆除</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机柜内线缆、设备拆除，做好标签；拆除的设备后续安装到新机柜中及线缆连接，配合调试</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vMerge w:val="continue"/>
            <w:tcBorders>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23</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网线敷设</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六类网线</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24</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音箱线敷设</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150芯无氧铜音箱线</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25</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电源线敷设</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电源线RVV3*2.5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26</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音频线敷设</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RVVP2*1.0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27</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线管安装</w:t>
            </w:r>
          </w:p>
        </w:tc>
        <w:tc>
          <w:tcPr>
            <w:tcW w:w="4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KBG25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eastAsia="zh-CN"/>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28</w:t>
            </w:r>
          </w:p>
        </w:tc>
        <w:tc>
          <w:tcPr>
            <w:tcW w:w="8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10"/>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highlight w:val="none"/>
                <w:u w:val="none"/>
                <w:lang w:val="en-US" w:eastAsia="zh-CN" w:bidi="ar"/>
              </w:rPr>
              <w:t>注：</w:t>
            </w: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合同签订后个7日内支付20%~40%预付款，货到验收合格后3个月内付清其余的货款。（付款方式可双方再协商，如报价让利更优惠、供货期期限缩短等双方协商互惠互利的基础上商谈）。</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eastAsia="宋体"/>
          <w:lang w:eastAsia="zh-CN"/>
        </w:rPr>
      </w:pPr>
      <w:r>
        <w:rPr>
          <w:rFonts w:hint="eastAsia"/>
          <w:lang w:eastAsia="zh-CN"/>
        </w:rPr>
        <w:t>四、</w:t>
      </w:r>
      <w:r>
        <w:rPr>
          <w:rFonts w:hint="eastAsia"/>
        </w:rPr>
        <w:t>合同格式及条款</w:t>
      </w:r>
    </w:p>
    <w:p>
      <w:pPr>
        <w:spacing w:line="360" w:lineRule="auto"/>
        <w:rPr>
          <w:rFonts w:hint="eastAsia" w:ascii="宋体"/>
          <w:b/>
          <w:bCs/>
          <w:sz w:val="24"/>
          <w:szCs w:val="24"/>
        </w:rPr>
      </w:pPr>
      <w:r>
        <w:rPr>
          <w:rFonts w:hint="eastAsia" w:ascii="宋体"/>
          <w:b/>
          <w:bCs/>
          <w:sz w:val="24"/>
          <w:szCs w:val="24"/>
        </w:rPr>
        <w:t xml:space="preserve">甲方：江苏省淮安市保安服务有限公司                         </w:t>
      </w:r>
    </w:p>
    <w:p>
      <w:pPr>
        <w:spacing w:line="360" w:lineRule="auto"/>
        <w:rPr>
          <w:rFonts w:hint="eastAsia" w:ascii="宋体"/>
          <w:b/>
          <w:bCs/>
          <w:sz w:val="24"/>
          <w:szCs w:val="24"/>
        </w:rPr>
      </w:pPr>
      <w:r>
        <w:rPr>
          <w:rFonts w:hint="eastAsia" w:ascii="宋体"/>
          <w:b/>
          <w:bCs/>
          <w:sz w:val="24"/>
          <w:szCs w:val="24"/>
          <w:lang w:val="en-US" w:eastAsia="zh-CN"/>
        </w:rPr>
        <w:t>乙方：</w:t>
      </w:r>
      <w:r>
        <w:rPr>
          <w:rFonts w:hint="eastAsia" w:ascii="宋体"/>
          <w:b/>
          <w:bCs/>
          <w:sz w:val="24"/>
          <w:szCs w:val="24"/>
        </w:rPr>
        <w:t xml:space="preserve">   </w:t>
      </w:r>
      <w:r>
        <w:rPr>
          <w:rFonts w:hint="eastAsia"/>
          <w:sz w:val="24"/>
          <w:szCs w:val="24"/>
        </w:rPr>
        <w:t xml:space="preserve">            </w:t>
      </w:r>
      <w:r>
        <w:rPr>
          <w:rFonts w:ascii="宋体"/>
          <w:b/>
          <w:bCs/>
          <w:sz w:val="24"/>
          <w:szCs w:val="24"/>
        </w:rPr>
        <w:t xml:space="preserve"> </w:t>
      </w:r>
      <w:r>
        <w:rPr>
          <w:sz w:val="24"/>
          <w:szCs w:val="24"/>
        </w:rPr>
        <w:t xml:space="preserve">                        </w:t>
      </w:r>
      <w:r>
        <w:rPr>
          <w:rFonts w:ascii="宋体"/>
          <w:b/>
          <w:bCs/>
          <w:sz w:val="24"/>
          <w:szCs w:val="24"/>
        </w:rPr>
        <w:t xml:space="preserve">   </w:t>
      </w:r>
      <w:r>
        <w:rPr>
          <w:sz w:val="24"/>
          <w:szCs w:val="24"/>
        </w:rPr>
        <w:t xml:space="preserve">   </w:t>
      </w:r>
      <w:r>
        <w:rPr>
          <w:rFonts w:ascii="宋体"/>
          <w:b/>
          <w:bCs/>
          <w:sz w:val="24"/>
          <w:szCs w:val="24"/>
        </w:rPr>
        <w:t xml:space="preserve">    </w:t>
      </w:r>
      <w:r>
        <w:rPr>
          <w:rFonts w:hint="eastAsia" w:ascii="宋体"/>
          <w:b/>
          <w:bCs/>
          <w:sz w:val="24"/>
          <w:szCs w:val="24"/>
        </w:rPr>
        <w:t xml:space="preserve"> </w:t>
      </w:r>
      <w:r>
        <w:rPr>
          <w:rFonts w:ascii="宋体"/>
          <w:b/>
          <w:bCs/>
          <w:sz w:val="24"/>
          <w:szCs w:val="24"/>
        </w:rPr>
        <w:t xml:space="preserve">              </w:t>
      </w:r>
    </w:p>
    <w:p>
      <w:pPr>
        <w:tabs>
          <w:tab w:val="left" w:pos="480"/>
        </w:tabs>
        <w:spacing w:line="360" w:lineRule="auto"/>
        <w:ind w:firstLine="480" w:firstLineChars="200"/>
        <w:rPr>
          <w:rFonts w:hint="eastAsia" w:ascii="宋体" w:hAnsi="宋体"/>
          <w:sz w:val="24"/>
          <w:szCs w:val="24"/>
        </w:rPr>
      </w:pPr>
      <w:r>
        <w:rPr>
          <w:rFonts w:hint="eastAsia" w:ascii="宋体" w:hAnsi="宋体"/>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宋体" w:hAnsi="宋体" w:eastAsia="宋体" w:cs="宋体"/>
          <w:bCs/>
          <w:sz w:val="24"/>
          <w:szCs w:val="24"/>
          <w:lang w:eastAsia="zh-CN"/>
        </w:rPr>
      </w:pPr>
      <w:r>
        <w:rPr>
          <w:rFonts w:hint="eastAsia"/>
          <w:b/>
          <w:bCs/>
          <w:lang w:val="en-US" w:eastAsia="zh-CN"/>
        </w:rPr>
        <w:t>第一条</w:t>
      </w:r>
      <w:r>
        <w:rPr>
          <w:rFonts w:hint="eastAsia" w:ascii="宋体" w:hAnsi="宋体"/>
          <w:b/>
          <w:bCs/>
          <w:sz w:val="24"/>
          <w:szCs w:val="24"/>
          <w:lang w:val="en-US" w:eastAsia="zh-CN"/>
        </w:rPr>
        <w:t>.</w:t>
      </w:r>
      <w:r>
        <w:rPr>
          <w:rFonts w:hint="eastAsia" w:ascii="宋体" w:hAnsi="宋体" w:cs="宋体"/>
          <w:b/>
          <w:bCs/>
          <w:sz w:val="24"/>
          <w:szCs w:val="24"/>
        </w:rPr>
        <w:t>采购清单</w:t>
      </w:r>
      <w:r>
        <w:rPr>
          <w:rFonts w:hint="eastAsia" w:ascii="宋体" w:hAnsi="宋体" w:cs="宋体"/>
          <w:b/>
          <w:bCs/>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宋体" w:hAnsi="宋体" w:eastAsia="宋体" w:cs="宋体"/>
                <w:sz w:val="24"/>
                <w:szCs w:val="24"/>
              </w:rPr>
            </w:pPr>
            <w:r>
              <w:rPr>
                <w:rFonts w:hint="eastAsia" w:ascii="宋体" w:hAnsi="宋体" w:eastAsia="宋体" w:cs="宋体"/>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数量</w:t>
            </w:r>
          </w:p>
        </w:tc>
        <w:tc>
          <w:tcPr>
            <w:tcW w:w="80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单位</w:t>
            </w:r>
          </w:p>
        </w:tc>
        <w:tc>
          <w:tcPr>
            <w:tcW w:w="709"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单价</w:t>
            </w:r>
          </w:p>
        </w:tc>
        <w:tc>
          <w:tcPr>
            <w:tcW w:w="992"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总价</w:t>
            </w:r>
          </w:p>
        </w:tc>
        <w:tc>
          <w:tcPr>
            <w:tcW w:w="1262"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质保期</w:t>
            </w:r>
          </w:p>
        </w:tc>
        <w:tc>
          <w:tcPr>
            <w:tcW w:w="853"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8"/>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总</w:t>
            </w:r>
            <w:r>
              <w:rPr>
                <w:rFonts w:hint="eastAsia" w:ascii="宋体" w:hAnsi="宋体" w:cs="宋体"/>
                <w:sz w:val="24"/>
                <w:szCs w:val="24"/>
                <w:lang w:val="en-US" w:eastAsia="zh-CN"/>
              </w:rPr>
              <w:t>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tc>
      </w:tr>
    </w:tbl>
    <w:p>
      <w:pPr>
        <w:bidi w:val="0"/>
        <w:rPr>
          <w:rFonts w:hint="eastAsia"/>
          <w:lang w:val="en-US" w:eastAsia="zh-CN"/>
        </w:rPr>
      </w:pPr>
      <w:r>
        <w:rPr>
          <w:rFonts w:hint="eastAsia"/>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b/>
          <w:bCs/>
          <w:lang w:val="en-US" w:eastAsia="zh-CN"/>
        </w:rPr>
      </w:pPr>
      <w:r>
        <w:rPr>
          <w:rFonts w:hint="eastAsia"/>
          <w:b/>
          <w:bCs/>
          <w:lang w:val="en-US" w:eastAsia="zh-CN"/>
        </w:rPr>
        <w:t>第二条：付款方式</w:t>
      </w:r>
    </w:p>
    <w:p>
      <w:pPr>
        <w:bidi w:val="0"/>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val="en-US" w:eastAsia="zh-CN"/>
        </w:rPr>
        <w:t>询价</w:t>
      </w:r>
      <w:r>
        <w:rPr>
          <w:rFonts w:hint="eastAsia" w:ascii="黑体" w:hAnsi="宋体" w:eastAsia="黑体" w:cs="黑体"/>
          <w:i w:val="0"/>
          <w:iCs w:val="0"/>
          <w:color w:val="FF0000"/>
          <w:sz w:val="24"/>
          <w:szCs w:val="24"/>
          <w:u w:val="none"/>
          <w:lang w:eastAsia="zh-CN"/>
        </w:rPr>
        <w:t>后确定。详见报价表</w:t>
      </w:r>
    </w:p>
    <w:p>
      <w:pPr>
        <w:bidi w:val="0"/>
        <w:rPr>
          <w:rFonts w:hint="eastAsia"/>
          <w:b/>
          <w:bCs/>
          <w:lang w:val="en-US" w:eastAsia="zh-CN"/>
        </w:rPr>
      </w:pPr>
      <w:r>
        <w:rPr>
          <w:rFonts w:hint="eastAsia"/>
          <w:b/>
          <w:bCs/>
          <w:lang w:val="en-US" w:eastAsia="zh-CN"/>
        </w:rPr>
        <w:t>第三条：交货方式和时间</w:t>
      </w:r>
    </w:p>
    <w:p>
      <w:pPr>
        <w:bidi w:val="0"/>
        <w:rPr>
          <w:rFonts w:hint="eastAsia"/>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rPr>
        <w:t>本合同供货时间和地点在</w:t>
      </w:r>
      <w:r>
        <w:rPr>
          <w:rFonts w:hint="eastAsia" w:ascii="宋体" w:hAnsi="宋体" w:eastAsia="宋体" w:cs="宋体"/>
          <w:sz w:val="24"/>
          <w:szCs w:val="24"/>
          <w:lang w:val="en-US" w:eastAsia="zh-CN"/>
        </w:rPr>
        <w:t>询价</w:t>
      </w:r>
      <w:r>
        <w:rPr>
          <w:rFonts w:hint="eastAsia" w:ascii="宋体" w:hAnsi="宋体" w:eastAsia="宋体" w:cs="宋体"/>
          <w:sz w:val="24"/>
          <w:szCs w:val="24"/>
        </w:rPr>
        <w:t>文件中有明确规定</w:t>
      </w:r>
      <w:r>
        <w:rPr>
          <w:rFonts w:hint="eastAsia"/>
          <w:lang w:val="en-US" w:eastAsia="zh-CN"/>
        </w:rPr>
        <w:t>。</w:t>
      </w:r>
    </w:p>
    <w:p>
      <w:pPr>
        <w:bidi w:val="0"/>
        <w:rPr>
          <w:rFonts w:hint="eastAsia"/>
          <w:lang w:val="en-US" w:eastAsia="zh-CN"/>
        </w:rPr>
      </w:pPr>
      <w:r>
        <w:rPr>
          <w:rFonts w:hint="eastAsia"/>
          <w:lang w:val="en-US" w:eastAsia="zh-CN"/>
        </w:rPr>
        <w:t>2、甲方接收产品并验收签字前，产品的运输费用及产品毁损、灭失的风险由乙方承担。</w:t>
      </w:r>
    </w:p>
    <w:p>
      <w:pPr>
        <w:bidi w:val="0"/>
        <w:rPr>
          <w:rFonts w:hint="eastAsia"/>
          <w:lang w:val="en-US" w:eastAsia="zh-CN"/>
        </w:rPr>
      </w:pPr>
      <w:r>
        <w:rPr>
          <w:rFonts w:hint="eastAsia"/>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bidi w:val="0"/>
        <w:rPr>
          <w:rFonts w:hint="eastAsia"/>
          <w:lang w:val="en-US" w:eastAsia="zh-CN"/>
        </w:rPr>
      </w:pPr>
      <w:r>
        <w:rPr>
          <w:rFonts w:hint="eastAsia"/>
          <w:lang w:val="en-US" w:eastAsia="zh-CN"/>
        </w:rPr>
        <w:t>4、如下资料需随货提供：</w:t>
      </w:r>
    </w:p>
    <w:p>
      <w:pPr>
        <w:bidi w:val="0"/>
        <w:rPr>
          <w:rFonts w:hint="eastAsia"/>
          <w:lang w:val="en-US" w:eastAsia="zh-CN"/>
        </w:rPr>
      </w:pPr>
      <w:r>
        <w:rPr>
          <w:rFonts w:hint="eastAsia"/>
          <w:lang w:val="en-US" w:eastAsia="zh-CN"/>
        </w:rPr>
        <w:t xml:space="preserve">（1）产品质量保证书；（2）产品检验报告；（3）产品合格证； </w:t>
      </w:r>
    </w:p>
    <w:p>
      <w:pPr>
        <w:bidi w:val="0"/>
        <w:rPr>
          <w:rFonts w:hint="eastAsia"/>
          <w:lang w:val="en-US" w:eastAsia="zh-CN"/>
        </w:rPr>
      </w:pPr>
      <w:r>
        <w:rPr>
          <w:rFonts w:hint="eastAsia"/>
          <w:lang w:val="en-US" w:eastAsia="zh-CN"/>
        </w:rPr>
        <w:t xml:space="preserve">（4）产品使用及安装说明书； （5）其它资料文件随产品附带：                     </w:t>
      </w:r>
    </w:p>
    <w:p>
      <w:pPr>
        <w:bidi w:val="0"/>
        <w:rPr>
          <w:rFonts w:hint="eastAsia"/>
          <w:b/>
          <w:bCs/>
          <w:lang w:val="en-US" w:eastAsia="zh-CN"/>
        </w:rPr>
      </w:pPr>
      <w:r>
        <w:rPr>
          <w:rFonts w:hint="eastAsia"/>
          <w:b/>
          <w:bCs/>
          <w:lang w:val="en-US" w:eastAsia="zh-CN"/>
        </w:rPr>
        <w:t>第四条：包装、委托运输、产品验收</w:t>
      </w:r>
    </w:p>
    <w:p>
      <w:pPr>
        <w:bidi w:val="0"/>
        <w:rPr>
          <w:rFonts w:hint="eastAsia"/>
          <w:lang w:val="en-US" w:eastAsia="zh-CN"/>
        </w:rPr>
      </w:pPr>
      <w:r>
        <w:rPr>
          <w:rFonts w:hint="eastAsia"/>
          <w:lang w:val="en-US" w:eastAsia="zh-CN"/>
        </w:rPr>
        <w:t>1、乙方应当采取防潮、防雨及前述产品性质相符的措施进行包装、运输，产品采用原厂包装，包装及运输应当符合国家相关防护标准，外包装物按有关环保规定处置。</w:t>
      </w:r>
    </w:p>
    <w:p>
      <w:pPr>
        <w:bidi w:val="0"/>
        <w:rPr>
          <w:rFonts w:hint="eastAsia"/>
          <w:lang w:val="en-US" w:eastAsia="zh-CN"/>
        </w:rPr>
      </w:pPr>
      <w:r>
        <w:rPr>
          <w:rFonts w:hint="eastAsia"/>
          <w:lang w:val="en-US" w:eastAsia="zh-CN"/>
        </w:rPr>
        <w:t>2、乙方交付的产品不符合甲方项目需求的标准，或乙方交付的质量及技术文件不符合第三条第4款之约定，甲方有权拒收部分或全部产品，由此产生的费用和损失由乙方承担。</w:t>
      </w:r>
    </w:p>
    <w:p>
      <w:pPr>
        <w:bidi w:val="0"/>
        <w:rPr>
          <w:rFonts w:hint="eastAsia"/>
          <w:lang w:val="en-US" w:eastAsia="zh-CN"/>
        </w:rPr>
      </w:pPr>
      <w:r>
        <w:rPr>
          <w:rFonts w:hint="eastAsia"/>
          <w:lang w:val="en-US" w:eastAsia="zh-CN"/>
        </w:rPr>
        <w:t>3、乙方交付的产品数量、质量、规格不符合合同约定标准，甲方有权要求乙方在3日内补齐或更换约定质量、技术标准的产品，并承担延迟、更换产品的相关费用。</w:t>
      </w:r>
    </w:p>
    <w:p>
      <w:pPr>
        <w:bidi w:val="0"/>
        <w:rPr>
          <w:rFonts w:hint="eastAsia"/>
          <w:lang w:val="en-US" w:eastAsia="zh-CN"/>
        </w:rPr>
      </w:pPr>
      <w:r>
        <w:rPr>
          <w:rFonts w:hint="eastAsia"/>
          <w:lang w:val="en-US" w:eastAsia="zh-CN"/>
        </w:rPr>
        <w:t>4、甲方对乙方交付的产品进行签收，不视为甲方对乙方交付产品质量的认可。</w:t>
      </w:r>
    </w:p>
    <w:p>
      <w:pPr>
        <w:bidi w:val="0"/>
        <w:rPr>
          <w:rFonts w:hint="eastAsia"/>
          <w:lang w:val="en-US" w:eastAsia="zh-CN"/>
        </w:rPr>
      </w:pPr>
      <w:r>
        <w:rPr>
          <w:rFonts w:hint="eastAsia"/>
          <w:lang w:val="en-US" w:eastAsia="zh-CN"/>
        </w:rPr>
        <w:t>5、甲方验收依据合同清单或双方签署的技术协议书执行。</w:t>
      </w:r>
    </w:p>
    <w:p>
      <w:pPr>
        <w:bidi w:val="0"/>
        <w:rPr>
          <w:rFonts w:hint="eastAsia"/>
          <w:lang w:val="en-US" w:eastAsia="zh-CN"/>
        </w:rPr>
      </w:pPr>
      <w:r>
        <w:rPr>
          <w:rFonts w:hint="eastAsia"/>
          <w:b/>
          <w:bCs/>
          <w:lang w:val="en-US" w:eastAsia="zh-CN"/>
        </w:rPr>
        <w:t>第五条: 技术支持、质量保证、售后服务、产品质保期</w:t>
      </w:r>
      <w:r>
        <w:rPr>
          <w:rFonts w:hint="eastAsia"/>
          <w:lang w:val="en-US" w:eastAsia="zh-CN"/>
        </w:rPr>
        <w:t xml:space="preserve">              </w:t>
      </w:r>
    </w:p>
    <w:p>
      <w:pPr>
        <w:bidi w:val="0"/>
        <w:rPr>
          <w:rFonts w:hint="eastAsia"/>
          <w:lang w:val="en-US" w:eastAsia="zh-CN"/>
        </w:rPr>
      </w:pPr>
      <w:r>
        <w:rPr>
          <w:rFonts w:hint="eastAsia"/>
          <w:lang w:val="en-US" w:eastAsia="zh-CN"/>
        </w:rPr>
        <w:t>1、乙方所交付货物的售后服务标准依据原厂商相关规定执行。</w:t>
      </w:r>
    </w:p>
    <w:p>
      <w:pPr>
        <w:bidi w:val="0"/>
        <w:rPr>
          <w:rFonts w:hint="eastAsia"/>
          <w:lang w:val="en-US" w:eastAsia="zh-CN"/>
        </w:rPr>
      </w:pPr>
      <w:r>
        <w:rPr>
          <w:rFonts w:hint="eastAsia"/>
          <w:lang w:val="en-US" w:eastAsia="zh-CN"/>
        </w:rPr>
        <w:t>2、本合同项下产品质保期为</w:t>
      </w:r>
      <w:r>
        <w:rPr>
          <w:rFonts w:hint="eastAsia"/>
          <w:highlight w:val="green"/>
          <w:u w:val="single"/>
          <w:lang w:val="en-US" w:eastAsia="zh-CN"/>
        </w:rPr>
        <w:t xml:space="preserve">    </w:t>
      </w:r>
      <w:r>
        <w:rPr>
          <w:rFonts w:hint="eastAsia"/>
          <w:highlight w:val="green"/>
          <w:lang w:val="en-US" w:eastAsia="zh-CN"/>
        </w:rPr>
        <w:t>年，</w:t>
      </w:r>
      <w:r>
        <w:rPr>
          <w:rFonts w:hint="eastAsia"/>
          <w:lang w:val="en-US" w:eastAsia="zh-CN"/>
        </w:rPr>
        <w:t>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bidi w:val="0"/>
        <w:rPr>
          <w:rFonts w:hint="eastAsia"/>
          <w:lang w:val="en-US" w:eastAsia="zh-CN"/>
        </w:rPr>
      </w:pPr>
      <w:r>
        <w:rPr>
          <w:rFonts w:hint="eastAsia"/>
          <w:lang w:val="en-US" w:eastAsia="zh-CN"/>
        </w:rPr>
        <w:t>3、乙方保证提供产品价格、参数、货期满足甲方项目实施需求，如甲方发现不能满足项目需求时，乙方需在24小时内协调处理，同时双方重新签署合同。</w:t>
      </w:r>
    </w:p>
    <w:p>
      <w:pPr>
        <w:bidi w:val="0"/>
        <w:ind w:left="0" w:leftChars="0" w:firstLine="480" w:firstLineChars="200"/>
        <w:rPr>
          <w:rFonts w:hint="eastAsia"/>
          <w:lang w:val="en-US" w:eastAsia="zh-CN"/>
        </w:rPr>
      </w:pPr>
      <w:r>
        <w:rPr>
          <w:rFonts w:hint="eastAsia"/>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b/>
          <w:bCs/>
          <w:lang w:val="en-US" w:eastAsia="zh-CN"/>
        </w:rPr>
      </w:pPr>
      <w:r>
        <w:rPr>
          <w:rFonts w:hint="eastAsia"/>
          <w:b/>
          <w:bCs/>
          <w:lang w:val="en-US" w:eastAsia="zh-CN"/>
        </w:rPr>
        <w:t>第六条: 货物风险及所有权</w:t>
      </w:r>
    </w:p>
    <w:p>
      <w:pPr>
        <w:bidi w:val="0"/>
        <w:rPr>
          <w:rFonts w:hint="eastAsia"/>
          <w:lang w:val="en-US" w:eastAsia="zh-CN"/>
        </w:rPr>
      </w:pPr>
      <w:r>
        <w:rPr>
          <w:rFonts w:hint="eastAsia"/>
          <w:lang w:val="en-US" w:eastAsia="zh-CN"/>
        </w:rPr>
        <w:t>1、甲方确认交付完成后，货物所有权归甲方所有。</w:t>
      </w:r>
    </w:p>
    <w:p>
      <w:pPr>
        <w:bidi w:val="0"/>
        <w:rPr>
          <w:rFonts w:hint="eastAsia"/>
          <w:lang w:val="en-US" w:eastAsia="zh-CN"/>
        </w:rPr>
      </w:pPr>
      <w:r>
        <w:rPr>
          <w:rFonts w:hint="eastAsia"/>
          <w:lang w:val="en-US" w:eastAsia="zh-CN"/>
        </w:rPr>
        <w:t>2、甲、乙双方针对本合同内容应有保密义务，在本合同期满、解除或终止后仍然有效。</w:t>
      </w:r>
    </w:p>
    <w:p>
      <w:pPr>
        <w:bidi w:val="0"/>
        <w:rPr>
          <w:rFonts w:hint="eastAsia"/>
          <w:b/>
          <w:bCs/>
          <w:lang w:val="en-US" w:eastAsia="zh-CN"/>
        </w:rPr>
      </w:pPr>
      <w:r>
        <w:rPr>
          <w:rFonts w:hint="eastAsia"/>
          <w:b/>
          <w:bCs/>
          <w:lang w:val="en-US" w:eastAsia="zh-CN"/>
        </w:rPr>
        <w:t>第七条: 违约责任</w:t>
      </w:r>
    </w:p>
    <w:p>
      <w:pPr>
        <w:bidi w:val="0"/>
        <w:rPr>
          <w:rFonts w:hint="eastAsia"/>
          <w:lang w:val="en-US" w:eastAsia="zh-CN"/>
        </w:rPr>
      </w:pPr>
      <w:r>
        <w:rPr>
          <w:rFonts w:hint="eastAsia"/>
          <w:lang w:val="en-US" w:eastAsia="zh-CN"/>
        </w:rPr>
        <w:t>1、乙方无法按时交货，应依照合同总额按日千分之[ 四 ]向甲方支付违约金。如乙方迟延交货超过[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bidi w:val="0"/>
        <w:rPr>
          <w:rFonts w:hint="eastAsia"/>
          <w:lang w:val="en-US" w:eastAsia="zh-CN"/>
        </w:rPr>
      </w:pPr>
      <w:r>
        <w:rPr>
          <w:rFonts w:hint="eastAsia"/>
          <w:lang w:val="en-US" w:eastAsia="zh-CN"/>
        </w:rPr>
        <w:t>2、乙方所提供货品因质量及售后等问题造成甲方项目暂停或停滞，乙方需对因此给甲方造成的全部损失承担赔偿责任，并向甲方支付合同金额20%的违约金。</w:t>
      </w:r>
    </w:p>
    <w:p>
      <w:pPr>
        <w:bidi w:val="0"/>
        <w:rPr>
          <w:rFonts w:hint="eastAsia"/>
          <w:lang w:val="en-US" w:eastAsia="zh-CN"/>
        </w:rPr>
      </w:pPr>
      <w:r>
        <w:rPr>
          <w:rFonts w:hint="eastAsia"/>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bidi w:val="0"/>
        <w:rPr>
          <w:rFonts w:hint="eastAsia"/>
          <w:lang w:val="en-US" w:eastAsia="zh-CN"/>
        </w:rPr>
      </w:pPr>
      <w:r>
        <w:rPr>
          <w:rFonts w:hint="eastAsia"/>
          <w:lang w:val="en-US" w:eastAsia="zh-CN"/>
        </w:rPr>
        <w:t>4、乙方承诺，未经甲方书面明确授权，乙方不得以自己名义或甲方名义直接向业主方收取任何款项或主张任何权利。</w:t>
      </w:r>
    </w:p>
    <w:p>
      <w:pPr>
        <w:bidi w:val="0"/>
        <w:rPr>
          <w:rFonts w:hint="eastAsia"/>
          <w:lang w:val="en-US" w:eastAsia="zh-CN"/>
        </w:rPr>
      </w:pPr>
      <w:r>
        <w:rPr>
          <w:rFonts w:hint="eastAsia"/>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bidi w:val="0"/>
        <w:rPr>
          <w:rFonts w:hint="eastAsia"/>
          <w:lang w:val="en-US" w:eastAsia="zh-CN"/>
        </w:rPr>
      </w:pPr>
      <w:r>
        <w:rPr>
          <w:rFonts w:hint="eastAsia"/>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bidi w:val="0"/>
        <w:rPr>
          <w:rFonts w:hint="eastAsia"/>
          <w:lang w:val="en-US" w:eastAsia="zh-CN"/>
        </w:rPr>
      </w:pPr>
      <w:r>
        <w:rPr>
          <w:rFonts w:hint="eastAsia"/>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bidi w:val="0"/>
        <w:rPr>
          <w:rFonts w:hint="eastAsia"/>
          <w:b/>
          <w:bCs/>
          <w:lang w:val="en-US" w:eastAsia="zh-CN"/>
        </w:rPr>
      </w:pPr>
      <w:r>
        <w:rPr>
          <w:rFonts w:hint="eastAsia"/>
          <w:b/>
          <w:bCs/>
          <w:lang w:val="en-US" w:eastAsia="zh-CN"/>
        </w:rPr>
        <w:t>第八条：合同纠纷的解决</w:t>
      </w:r>
    </w:p>
    <w:p>
      <w:pPr>
        <w:bidi w:val="0"/>
        <w:rPr>
          <w:rFonts w:hint="eastAsia"/>
          <w:lang w:val="en-US" w:eastAsia="zh-CN"/>
        </w:rPr>
      </w:pPr>
      <w:r>
        <w:rPr>
          <w:rFonts w:hint="eastAsia"/>
          <w:lang w:val="en-US" w:eastAsia="zh-CN"/>
        </w:rPr>
        <w:t>如双方在合同履行发生争议，应友好协商解决。协商不成，在本合同签订地人民法院起诉。</w:t>
      </w:r>
    </w:p>
    <w:p>
      <w:pPr>
        <w:bidi w:val="0"/>
        <w:rPr>
          <w:rFonts w:hint="eastAsia"/>
          <w:b/>
          <w:bCs/>
          <w:lang w:val="en-US" w:eastAsia="zh-CN"/>
        </w:rPr>
      </w:pPr>
      <w:r>
        <w:rPr>
          <w:rFonts w:hint="eastAsia"/>
          <w:b/>
          <w:bCs/>
          <w:lang w:val="en-US" w:eastAsia="zh-CN"/>
        </w:rPr>
        <w:t>第九条：注意事项</w:t>
      </w:r>
    </w:p>
    <w:p>
      <w:pPr>
        <w:bidi w:val="0"/>
        <w:rPr>
          <w:rFonts w:hint="eastAsia"/>
          <w:lang w:val="en-US" w:eastAsia="zh-CN"/>
        </w:rPr>
      </w:pPr>
      <w:r>
        <w:rPr>
          <w:rFonts w:hint="eastAsia"/>
          <w:lang w:val="en-US" w:eastAsia="zh-CN"/>
        </w:rPr>
        <w:t>1、有关本合同条款的修改、补充和变更，必须经双方协商一致，并以书面形式确定。</w:t>
      </w:r>
    </w:p>
    <w:p>
      <w:pPr>
        <w:bidi w:val="0"/>
        <w:rPr>
          <w:rFonts w:hint="eastAsia"/>
          <w:lang w:val="en-US" w:eastAsia="zh-CN"/>
        </w:rPr>
      </w:pPr>
      <w:r>
        <w:rPr>
          <w:rFonts w:hint="eastAsia"/>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bidi w:val="0"/>
        <w:rPr>
          <w:rFonts w:hint="eastAsia"/>
          <w:lang w:val="en-US" w:eastAsia="zh-CN"/>
        </w:rPr>
      </w:pPr>
      <w:r>
        <w:rPr>
          <w:rFonts w:hint="eastAsia"/>
          <w:lang w:val="en-US" w:eastAsia="zh-CN"/>
        </w:rPr>
        <w:t>3、合同双方应当维护公平竞争环境，遵循法律法规和国际公认的商业道德标准/准则，禁止贿赂，禁止其他不正当竞争行为。</w:t>
      </w:r>
    </w:p>
    <w:p>
      <w:pPr>
        <w:bidi w:val="0"/>
        <w:rPr>
          <w:rFonts w:hint="eastAsia"/>
          <w:lang w:val="en-US" w:eastAsia="zh-CN"/>
        </w:rPr>
      </w:pPr>
      <w:r>
        <w:rPr>
          <w:rFonts w:hint="eastAsia"/>
          <w:lang w:val="en-US" w:eastAsia="zh-CN"/>
        </w:rPr>
        <w:t>4、双方约定：本合同及其附件、扫描件同等有效；</w:t>
      </w:r>
    </w:p>
    <w:p>
      <w:pPr>
        <w:bidi w:val="0"/>
        <w:rPr>
          <w:rFonts w:hint="eastAsia"/>
          <w:lang w:val="en-US" w:eastAsia="zh-CN"/>
        </w:rPr>
      </w:pPr>
      <w:r>
        <w:rPr>
          <w:rFonts w:hint="eastAsia"/>
          <w:lang w:val="en-US" w:eastAsia="zh-CN"/>
        </w:rPr>
        <w:t>5、本合同一式叁份，甲方贰份，乙方壹份，具有同等法律效力。</w:t>
      </w:r>
    </w:p>
    <w:p>
      <w:pPr>
        <w:bidi w:val="0"/>
        <w:rPr>
          <w:rFonts w:hint="eastAsia"/>
          <w:lang w:val="en-US" w:eastAsia="zh-CN"/>
        </w:rPr>
      </w:pPr>
      <w:r>
        <w:rPr>
          <w:rFonts w:hint="eastAsia"/>
          <w:lang w:val="en-US" w:eastAsia="zh-CN"/>
        </w:rPr>
        <w:t>6、为方便合同履行，乙方指派</w:t>
      </w:r>
      <w:r>
        <w:rPr>
          <w:rFonts w:hint="eastAsia"/>
          <w:u w:val="single"/>
          <w:lang w:val="en-US" w:eastAsia="zh-CN"/>
        </w:rPr>
        <w:t xml:space="preserve">         </w:t>
      </w:r>
      <w:r>
        <w:rPr>
          <w:rFonts w:hint="eastAsia"/>
          <w:lang w:val="en-US" w:eastAsia="zh-CN"/>
        </w:rPr>
        <w:t>作为本合同履行乙方的授权代表人，联系方式：</w:t>
      </w:r>
      <w:r>
        <w:rPr>
          <w:rFonts w:hint="eastAsia"/>
          <w:u w:val="single"/>
          <w:lang w:val="en-US" w:eastAsia="zh-CN"/>
        </w:rPr>
        <w:t xml:space="preserve">                </w:t>
      </w:r>
      <w:r>
        <w:rPr>
          <w:rFonts w:hint="eastAsia"/>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宋体" w:hAnsi="宋体" w:eastAsia="宋体" w:cs="宋体"/>
          <w:sz w:val="24"/>
          <w:szCs w:val="24"/>
        </w:rPr>
      </w:pPr>
    </w:p>
    <w:p>
      <w:pPr>
        <w:pStyle w:val="18"/>
        <w:spacing w:line="360" w:lineRule="auto"/>
        <w:rPr>
          <w:rFonts w:hint="eastAsia" w:ascii="宋体" w:hAnsi="宋体" w:eastAsia="宋体" w:cs="宋体"/>
          <w:sz w:val="24"/>
          <w:szCs w:val="24"/>
        </w:rPr>
      </w:pPr>
      <w:r>
        <w:rPr>
          <w:rFonts w:hint="eastAsia" w:ascii="宋体" w:hAnsi="宋体" w:eastAsia="宋体" w:cs="宋体"/>
          <w:sz w:val="24"/>
          <w:szCs w:val="24"/>
        </w:rPr>
        <w:t>甲    方:                          乙    方:</w:t>
      </w:r>
    </w:p>
    <w:p>
      <w:pPr>
        <w:pStyle w:val="18"/>
        <w:spacing w:line="360" w:lineRule="auto"/>
        <w:rPr>
          <w:rFonts w:hint="eastAsia" w:ascii="宋体" w:hAnsi="宋体" w:eastAsia="宋体" w:cs="宋体"/>
          <w:sz w:val="24"/>
          <w:szCs w:val="24"/>
        </w:rPr>
      </w:pPr>
      <w:r>
        <w:rPr>
          <w:rFonts w:hint="eastAsia" w:ascii="宋体" w:hAnsi="宋体" w:eastAsia="宋体" w:cs="宋体"/>
          <w:sz w:val="24"/>
          <w:szCs w:val="24"/>
        </w:rPr>
        <w:t xml:space="preserve">单位盖章:（签章）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单位盖章:（签章）</w:t>
      </w:r>
    </w:p>
    <w:p>
      <w:pPr>
        <w:pStyle w:val="18"/>
        <w:spacing w:line="360" w:lineRule="auto"/>
        <w:rPr>
          <w:rFonts w:hint="eastAsia" w:ascii="宋体" w:hAnsi="宋体" w:eastAsia="宋体" w:cs="宋体"/>
          <w:sz w:val="24"/>
          <w:szCs w:val="24"/>
        </w:rPr>
      </w:pPr>
      <w:r>
        <w:rPr>
          <w:rFonts w:hint="eastAsia" w:ascii="宋体" w:hAnsi="宋体" w:eastAsia="宋体" w:cs="宋体"/>
          <w:sz w:val="24"/>
          <w:szCs w:val="24"/>
        </w:rPr>
        <w:t>代表签字:                          代表签字:</w:t>
      </w:r>
    </w:p>
    <w:p>
      <w:pPr>
        <w:rPr>
          <w:rFonts w:hint="eastAsia" w:ascii="宋体" w:hAnsi="宋体" w:eastAsia="宋体" w:cs="宋体"/>
          <w:sz w:val="24"/>
          <w:szCs w:val="24"/>
        </w:rPr>
      </w:pPr>
      <w:r>
        <w:rPr>
          <w:rFonts w:hint="eastAsia" w:ascii="宋体" w:hAnsi="宋体" w:eastAsia="宋体" w:cs="宋体"/>
          <w:sz w:val="24"/>
          <w:szCs w:val="24"/>
        </w:rPr>
        <w:t>签定日期:                          签定日期:</w:t>
      </w:r>
    </w:p>
    <w:p>
      <w:pPr>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6"/>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pPr>
        <w:pStyle w:val="16"/>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cs="宋体"/>
          <w:sz w:val="24"/>
          <w:szCs w:val="24"/>
          <w:highlight w:val="green"/>
          <w:u w:val="single"/>
          <w:lang w:val="en-US" w:eastAsia="zh-CN"/>
        </w:rPr>
        <w:t xml:space="preserve"> </w:t>
      </w:r>
      <w:r>
        <w:rPr>
          <w:rFonts w:hint="eastAsia" w:ascii="宋体" w:hAnsi="宋体" w:cs="宋体"/>
          <w:sz w:val="24"/>
          <w:szCs w:val="24"/>
          <w:highlight w:val="green"/>
          <w:u w:val="single"/>
          <w:lang w:val="en-US" w:eastAsia="zh-CN"/>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highlight w:val="green"/>
          <w:u w:val="single"/>
          <w:lang w:val="en-US" w:eastAsia="zh-CN"/>
        </w:rPr>
        <w:t xml:space="preserve"> </w:t>
      </w:r>
      <w:r>
        <w:rPr>
          <w:rFonts w:hint="eastAsia" w:ascii="宋体" w:hAnsi="宋体" w:cs="宋体"/>
          <w:sz w:val="24"/>
          <w:szCs w:val="24"/>
          <w:highlight w:val="green"/>
          <w:u w:val="single"/>
          <w:lang w:val="en-US" w:eastAsia="zh-CN"/>
        </w:rPr>
        <w:t xml:space="preserve">     </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eastAsia="宋体" w:cs="宋体"/>
          <w:sz w:val="24"/>
          <w:szCs w:val="24"/>
          <w:highlight w:val="green"/>
          <w:u w:val="single"/>
          <w:lang w:val="en-US" w:eastAsia="zh-CN"/>
        </w:rPr>
        <w:t xml:space="preserve"> </w:t>
      </w:r>
      <w:r>
        <w:rPr>
          <w:rFonts w:hint="eastAsia" w:ascii="宋体" w:hAnsi="宋体" w:cs="宋体"/>
          <w:sz w:val="24"/>
          <w:szCs w:val="24"/>
          <w:highlight w:val="green"/>
          <w:u w:val="single"/>
          <w:lang w:val="en-US" w:eastAsia="zh-CN"/>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19"/>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19"/>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19"/>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19"/>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19"/>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19"/>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19"/>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19"/>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19"/>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19"/>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19"/>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spacing w:line="360" w:lineRule="auto"/>
        <w:jc w:val="left"/>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spacing w:line="360" w:lineRule="auto"/>
        <w:ind w:left="485" w:leftChars="202"/>
        <w:jc w:val="center"/>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spacing w:line="360" w:lineRule="auto"/>
        <w:ind w:left="1080" w:leftChars="450"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十五、防护措施</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spacing w:line="360" w:lineRule="auto"/>
        <w:ind w:firstLine="480" w:firstLineChars="200"/>
        <w:jc w:val="left"/>
        <w:rPr>
          <w:rFonts w:hint="eastAsia" w:ascii="宋体" w:hAnsi="宋体" w:eastAsia="宋体" w:cs="宋体"/>
          <w:sz w:val="24"/>
          <w:szCs w:val="24"/>
        </w:rPr>
      </w:pP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spacing w:line="360" w:lineRule="auto"/>
        <w:ind w:firstLine="480" w:firstLineChars="200"/>
        <w:jc w:val="left"/>
        <w:rPr>
          <w:rFonts w:hint="eastAsia" w:ascii="宋体" w:hAnsi="宋体" w:eastAsia="宋体" w:cs="宋体"/>
          <w:color w:val="000000"/>
          <w:sz w:val="24"/>
          <w:szCs w:val="24"/>
        </w:rPr>
      </w:pPr>
    </w:p>
    <w:p>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spacing w:line="360" w:lineRule="auto"/>
        <w:jc w:val="left"/>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24"/>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24"/>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24"/>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24"/>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24"/>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24"/>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24"/>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24"/>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24"/>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24"/>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24"/>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24"/>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24"/>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24"/>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24"/>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24"/>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24"/>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spacing w:line="360" w:lineRule="auto"/>
        <w:ind w:firstLine="544" w:firstLineChars="227"/>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544" w:firstLineChars="227"/>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spacing w:line="360" w:lineRule="auto"/>
        <w:ind w:firstLine="424" w:firstLineChars="177"/>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6" w:firstLineChars="177"/>
        <w:contextualSpacing/>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1、外电防护</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2、接地与接零保护系统</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3、配电线路</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4、配电箱与开关箱</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5、配电室与配电装置</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6、现场照明</w:t>
      </w:r>
    </w:p>
    <w:p>
      <w:pPr>
        <w:spacing w:line="360" w:lineRule="auto"/>
        <w:ind w:firstLine="304" w:firstLineChars="127"/>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spacing w:line="360" w:lineRule="auto"/>
        <w:ind w:firstLine="304" w:firstLineChars="127"/>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spacing w:line="360" w:lineRule="auto"/>
        <w:ind w:firstLine="304" w:firstLineChars="127"/>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spacing w:line="360" w:lineRule="auto"/>
        <w:ind w:firstLine="304" w:firstLineChars="127"/>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spacing w:line="360" w:lineRule="auto"/>
        <w:ind w:firstLine="304" w:firstLineChars="127"/>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spacing w:line="360" w:lineRule="auto"/>
        <w:ind w:firstLine="304" w:firstLineChars="127"/>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spacing w:line="360" w:lineRule="auto"/>
        <w:ind w:firstLine="304" w:firstLineChars="127"/>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spacing w:line="360" w:lineRule="auto"/>
        <w:ind w:firstLine="141" w:firstLineChars="59"/>
        <w:rPr>
          <w:rFonts w:hint="eastAsia" w:ascii="宋体" w:hAnsi="宋体" w:eastAsia="宋体" w:cs="宋体"/>
          <w:sz w:val="24"/>
          <w:szCs w:val="24"/>
        </w:rPr>
      </w:pPr>
      <w:r>
        <w:rPr>
          <w:rFonts w:hint="eastAsia" w:ascii="宋体" w:hAnsi="宋体" w:eastAsia="宋体" w:cs="宋体"/>
          <w:sz w:val="24"/>
          <w:szCs w:val="24"/>
        </w:rPr>
        <w:t xml:space="preserve">  7、用电档案</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应由相关部门组织验收；</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（5）用电档案资料应齐全，并应设专人管理。</w:t>
      </w:r>
    </w:p>
    <w:p>
      <w:pPr>
        <w:spacing w:line="360" w:lineRule="auto"/>
        <w:ind w:firstLine="424" w:firstLineChars="177"/>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spacing w:line="360" w:lineRule="auto"/>
        <w:ind w:firstLine="424" w:firstLineChars="177"/>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24" w:firstLineChars="177"/>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24" w:firstLineChars="177"/>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24" w:firstLineChars="177"/>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24" w:firstLineChars="177"/>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tabs>
          <w:tab w:val="left" w:pos="5040"/>
        </w:tabs>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
      <w:pPr>
        <w:pStyle w:val="2"/>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8"/>
      <w:isLgl/>
      <w:lvlText w:val="%1.%2."/>
      <w:lvlJc w:val="left"/>
      <w:pPr>
        <w:ind w:left="567" w:hanging="567"/>
      </w:pPr>
      <w:rPr>
        <w:rFonts w:hint="eastAsia" w:ascii="宋体" w:hAnsi="宋体" w:eastAsia="宋体" w:cs="宋体"/>
      </w:rPr>
    </w:lvl>
    <w:lvl w:ilvl="2" w:tentative="0">
      <w:start w:val="1"/>
      <w:numFmt w:val="decimal"/>
      <w:pStyle w:val="9"/>
      <w:isLgl/>
      <w:lvlText w:val="%1.%2.%3."/>
      <w:lvlJc w:val="left"/>
      <w:pPr>
        <w:ind w:left="709" w:hanging="709"/>
      </w:pPr>
      <w:rPr>
        <w:rFonts w:hint="eastAsia" w:ascii="宋体" w:hAnsi="宋体" w:eastAsia="宋体" w:cs="宋体"/>
      </w:rPr>
    </w:lvl>
    <w:lvl w:ilvl="3" w:tentative="0">
      <w:start w:val="1"/>
      <w:numFmt w:val="decimal"/>
      <w:pStyle w:val="10"/>
      <w:isLgl/>
      <w:lvlText w:val="%1.%2.%3.%4."/>
      <w:lvlJc w:val="left"/>
      <w:pPr>
        <w:ind w:left="850" w:hanging="850"/>
      </w:pPr>
      <w:rPr>
        <w:rFonts w:hint="eastAsia" w:ascii="宋体" w:hAnsi="宋体" w:eastAsia="宋体" w:cs="宋体"/>
      </w:rPr>
    </w:lvl>
    <w:lvl w:ilvl="4" w:tentative="0">
      <w:start w:val="1"/>
      <w:numFmt w:val="decimal"/>
      <w:pStyle w:val="11"/>
      <w:isLgl/>
      <w:lvlText w:val="%1.%2.%3.%4.%5."/>
      <w:lvlJc w:val="left"/>
      <w:pPr>
        <w:ind w:left="991" w:hanging="991"/>
      </w:pPr>
      <w:rPr>
        <w:rFonts w:hint="eastAsia" w:ascii="宋体" w:hAnsi="宋体" w:eastAsia="宋体" w:cs="宋体"/>
      </w:rPr>
    </w:lvl>
    <w:lvl w:ilvl="5" w:tentative="0">
      <w:start w:val="1"/>
      <w:numFmt w:val="decimal"/>
      <w:pStyle w:val="12"/>
      <w:isLgl/>
      <w:lvlText w:val="%1.%2.%3.%4.%5.%6."/>
      <w:lvlJc w:val="left"/>
      <w:pPr>
        <w:ind w:left="1134" w:hanging="1134"/>
      </w:pPr>
      <w:rPr>
        <w:rFonts w:hint="eastAsia" w:ascii="宋体" w:hAnsi="宋体" w:eastAsia="宋体" w:cs="宋体"/>
      </w:rPr>
    </w:lvl>
    <w:lvl w:ilvl="6" w:tentative="0">
      <w:start w:val="1"/>
      <w:numFmt w:val="decimal"/>
      <w:pStyle w:val="13"/>
      <w:isLgl/>
      <w:lvlText w:val="%1.%2.%3.%4.%5.%6.%7."/>
      <w:lvlJc w:val="left"/>
      <w:pPr>
        <w:ind w:left="1275" w:hanging="1275"/>
      </w:pPr>
      <w:rPr>
        <w:rFonts w:hint="eastAsia" w:ascii="宋体" w:hAnsi="宋体" w:eastAsia="宋体" w:cs="宋体"/>
      </w:rPr>
    </w:lvl>
    <w:lvl w:ilvl="7" w:tentative="0">
      <w:start w:val="1"/>
      <w:numFmt w:val="decimal"/>
      <w:pStyle w:val="14"/>
      <w:isLgl/>
      <w:lvlText w:val="%1.%2.%3.%4.%5.%6.%7.%8."/>
      <w:lvlJc w:val="left"/>
      <w:pPr>
        <w:ind w:left="1418" w:hanging="1418"/>
      </w:pPr>
      <w:rPr>
        <w:rFonts w:hint="eastAsia" w:ascii="宋体" w:hAnsi="宋体" w:eastAsia="宋体" w:cs="宋体"/>
      </w:rPr>
    </w:lvl>
    <w:lvl w:ilvl="8" w:tentative="0">
      <w:start w:val="1"/>
      <w:numFmt w:val="decimal"/>
      <w:pStyle w:val="15"/>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NzMwM2NhMzhiNTkxOTI4NDJmNjBkYTM4ZWE0NDQifQ=="/>
  </w:docVars>
  <w:rsids>
    <w:rsidRoot w:val="1F741D8C"/>
    <w:rsid w:val="00F471B2"/>
    <w:rsid w:val="02BD280C"/>
    <w:rsid w:val="06E65ABA"/>
    <w:rsid w:val="082F30B8"/>
    <w:rsid w:val="0BC2638F"/>
    <w:rsid w:val="0D78696A"/>
    <w:rsid w:val="0DBF30C4"/>
    <w:rsid w:val="100159F1"/>
    <w:rsid w:val="15B405D8"/>
    <w:rsid w:val="193251CA"/>
    <w:rsid w:val="1C3E1701"/>
    <w:rsid w:val="1F741D8C"/>
    <w:rsid w:val="1FC0011B"/>
    <w:rsid w:val="25DE44B5"/>
    <w:rsid w:val="264801BD"/>
    <w:rsid w:val="2B9E5DD1"/>
    <w:rsid w:val="2E1B2848"/>
    <w:rsid w:val="2E625B5C"/>
    <w:rsid w:val="300D6BCC"/>
    <w:rsid w:val="46AE2EAA"/>
    <w:rsid w:val="4A0E06F8"/>
    <w:rsid w:val="4BB038DA"/>
    <w:rsid w:val="4D5932DD"/>
    <w:rsid w:val="50417986"/>
    <w:rsid w:val="57DB3B40"/>
    <w:rsid w:val="596D654F"/>
    <w:rsid w:val="5BBF6D32"/>
    <w:rsid w:val="61852A60"/>
    <w:rsid w:val="69FD1FFD"/>
    <w:rsid w:val="6BB31049"/>
    <w:rsid w:val="704B42EF"/>
    <w:rsid w:val="71E07B02"/>
    <w:rsid w:val="721001E1"/>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8">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9">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0">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qFormat/>
    <w:uiPriority w:val="99"/>
  </w:style>
  <w:style w:type="paragraph" w:styleId="5">
    <w:name w:val="Body Text Indent"/>
    <w:basedOn w:val="1"/>
    <w:qFormat/>
    <w:uiPriority w:val="99"/>
    <w:pPr>
      <w:spacing w:after="120"/>
      <w:ind w:left="420" w:leftChars="200"/>
    </w:p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Normal Indent"/>
    <w:basedOn w:val="1"/>
    <w:qFormat/>
    <w:uiPriority w:val="0"/>
    <w:pPr>
      <w:ind w:firstLine="420" w:firstLineChars="200"/>
    </w:pPr>
    <w:rPr>
      <w:rFonts w:ascii="Times New Roman" w:hAnsi="Times New Roman" w:eastAsia="宋体" w:cs="Times New Roman"/>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Normal (Web)"/>
    <w:basedOn w:val="1"/>
    <w:qFormat/>
    <w:uiPriority w:val="0"/>
    <w:rPr>
      <w:sz w:val="24"/>
    </w:rPr>
  </w:style>
  <w:style w:type="character" w:styleId="22">
    <w:name w:val="Hyperlink"/>
    <w:basedOn w:val="21"/>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4">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小尾巴 茉茉</cp:lastModifiedBy>
  <cp:lastPrinted>2023-11-07T01:59:00Z</cp:lastPrinted>
  <dcterms:modified xsi:type="dcterms:W3CDTF">2023-11-08T03:01:01Z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09F0D59B2E824E11826F4BA71677AF03_13</vt:lpwstr>
  </property>
</Properties>
</file>