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宋体" w:hAnsi="宋体" w:cs="宋体"/>
          <w:b w:val="0"/>
          <w:bCs w:val="0"/>
          <w:i w:val="0"/>
          <w:iCs w:val="0"/>
          <w:caps w:val="0"/>
          <w:color w:val="000000"/>
          <w:spacing w:val="0"/>
          <w:sz w:val="24"/>
          <w:szCs w:val="24"/>
          <w:shd w:val="clear" w:color="auto" w:fill="FFFFFF"/>
          <w:lang w:val="en-US" w:eastAsia="zh-CN"/>
        </w:rPr>
      </w:pPr>
      <w:r>
        <w:rPr>
          <w:rFonts w:hint="eastAsia" w:ascii="宋体" w:hAnsi="宋体" w:cs="宋体"/>
          <w:b w:val="0"/>
          <w:bCs w:val="0"/>
          <w:i w:val="0"/>
          <w:iCs w:val="0"/>
          <w:caps w:val="0"/>
          <w:color w:val="000000"/>
          <w:spacing w:val="0"/>
          <w:sz w:val="24"/>
          <w:szCs w:val="24"/>
          <w:shd w:val="clear" w:color="auto" w:fill="FFFFFF"/>
          <w:lang w:val="en-US" w:eastAsia="zh-CN"/>
        </w:rPr>
        <w:t xml:space="preserve"> </w:t>
      </w: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LED大屏安装工程计算书采购询价文件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6F784C08">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60D70B56">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08EBE677">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25B274CB">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w:t>
      </w:r>
      <w:r>
        <w:rPr>
          <w:rFonts w:hint="default" w:ascii="仿宋" w:hAnsi="仿宋" w:eastAsia="仿宋" w:cs="仿宋"/>
          <w:b/>
          <w:bCs/>
          <w:kern w:val="2"/>
          <w:sz w:val="28"/>
          <w:szCs w:val="28"/>
          <w:lang w:val="en-US" w:eastAsia="zh-CN" w:bidi="ar-SA"/>
        </w:rPr>
        <w:t>具备有效的</w:t>
      </w:r>
      <w:r>
        <w:rPr>
          <w:rFonts w:hint="eastAsia" w:ascii="仿宋" w:hAnsi="仿宋" w:eastAsia="仿宋" w:cs="仿宋"/>
          <w:b/>
          <w:bCs/>
          <w:kern w:val="2"/>
          <w:sz w:val="28"/>
          <w:szCs w:val="28"/>
          <w:lang w:val="en-US" w:eastAsia="zh-CN" w:bidi="ar-SA"/>
        </w:rPr>
        <w:t>工程设计</w:t>
      </w:r>
      <w:r>
        <w:rPr>
          <w:rFonts w:hint="default" w:ascii="仿宋" w:hAnsi="仿宋" w:eastAsia="仿宋" w:cs="仿宋"/>
          <w:b/>
          <w:bCs/>
          <w:kern w:val="2"/>
          <w:sz w:val="28"/>
          <w:szCs w:val="28"/>
          <w:lang w:val="en-US" w:eastAsia="zh-CN" w:bidi="ar-SA"/>
        </w:rPr>
        <w:t>资质证书</w:t>
      </w: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9"/>
        <w:gridCol w:w="1676"/>
        <w:gridCol w:w="244"/>
        <w:gridCol w:w="4665"/>
        <w:gridCol w:w="1230"/>
        <w:gridCol w:w="660"/>
        <w:gridCol w:w="675"/>
        <w:gridCol w:w="1320"/>
        <w:gridCol w:w="1275"/>
        <w:gridCol w:w="1811"/>
      </w:tblGrid>
      <w:tr w14:paraId="54BFA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325" w:type="dxa"/>
            <w:gridSpan w:val="10"/>
            <w:tcBorders>
              <w:top w:val="nil"/>
              <w:left w:val="nil"/>
              <w:bottom w:val="nil"/>
              <w:right w:val="nil"/>
            </w:tcBorders>
            <w:shd w:val="clear" w:color="auto" w:fill="auto"/>
            <w:vAlign w:val="center"/>
          </w:tcPr>
          <w:p w14:paraId="5D3CF7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32701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3EF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F09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5C96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4406" w:type="dxa"/>
            <w:gridSpan w:val="3"/>
            <w:tcBorders>
              <w:top w:val="single" w:color="000000" w:sz="4" w:space="0"/>
              <w:left w:val="nil"/>
              <w:bottom w:val="single" w:color="000000" w:sz="4" w:space="0"/>
              <w:right w:val="single" w:color="000000" w:sz="4" w:space="0"/>
            </w:tcBorders>
            <w:shd w:val="clear" w:color="auto" w:fill="auto"/>
            <w:vAlign w:val="center"/>
          </w:tcPr>
          <w:p w14:paraId="258985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4B624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826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C27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F708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4406" w:type="dxa"/>
            <w:gridSpan w:val="3"/>
            <w:tcBorders>
              <w:top w:val="single" w:color="000000" w:sz="4" w:space="0"/>
              <w:left w:val="nil"/>
              <w:bottom w:val="single" w:color="000000" w:sz="4" w:space="0"/>
              <w:right w:val="single" w:color="000000" w:sz="4" w:space="0"/>
            </w:tcBorders>
            <w:shd w:val="clear" w:color="auto" w:fill="auto"/>
            <w:vAlign w:val="center"/>
          </w:tcPr>
          <w:p w14:paraId="6CAA89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6F6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47A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36D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B73C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406" w:type="dxa"/>
            <w:gridSpan w:val="3"/>
            <w:tcBorders>
              <w:top w:val="single" w:color="000000" w:sz="4" w:space="0"/>
              <w:left w:val="nil"/>
              <w:bottom w:val="single" w:color="000000" w:sz="4" w:space="0"/>
              <w:right w:val="single" w:color="000000" w:sz="4" w:space="0"/>
            </w:tcBorders>
            <w:shd w:val="clear" w:color="auto" w:fill="auto"/>
            <w:vAlign w:val="center"/>
          </w:tcPr>
          <w:p w14:paraId="37424B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8E39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3B3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C93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14AD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406" w:type="dxa"/>
            <w:gridSpan w:val="3"/>
            <w:tcBorders>
              <w:top w:val="single" w:color="000000" w:sz="4" w:space="0"/>
              <w:left w:val="nil"/>
              <w:bottom w:val="single" w:color="000000" w:sz="4" w:space="0"/>
              <w:right w:val="single" w:color="000000" w:sz="4" w:space="0"/>
            </w:tcBorders>
            <w:shd w:val="clear" w:color="auto" w:fill="auto"/>
            <w:vAlign w:val="center"/>
          </w:tcPr>
          <w:p w14:paraId="0AA89F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5CAB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42D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3D6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5C65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4406" w:type="dxa"/>
            <w:gridSpan w:val="3"/>
            <w:tcBorders>
              <w:top w:val="single" w:color="000000" w:sz="4" w:space="0"/>
              <w:left w:val="nil"/>
              <w:bottom w:val="single" w:color="000000" w:sz="4" w:space="0"/>
              <w:right w:val="single" w:color="000000" w:sz="4" w:space="0"/>
            </w:tcBorders>
            <w:shd w:val="clear" w:color="auto" w:fill="auto"/>
            <w:vAlign w:val="center"/>
          </w:tcPr>
          <w:p w14:paraId="7AECF4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CFD5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34C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A4B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9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A94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FF8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335" w:type="dxa"/>
            <w:gridSpan w:val="2"/>
            <w:vMerge w:val="restart"/>
            <w:tcBorders>
              <w:top w:val="single" w:color="000000" w:sz="4" w:space="0"/>
              <w:left w:val="single" w:color="000000" w:sz="4" w:space="0"/>
              <w:right w:val="single" w:color="000000" w:sz="4" w:space="0"/>
            </w:tcBorders>
            <w:shd w:val="clear" w:color="auto" w:fill="auto"/>
            <w:vAlign w:val="center"/>
          </w:tcPr>
          <w:p w14:paraId="36C235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D4B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0E2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备注</w:t>
            </w:r>
          </w:p>
        </w:tc>
      </w:tr>
      <w:tr w14:paraId="0D78A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18A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393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9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5CE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DB7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335" w:type="dxa"/>
            <w:gridSpan w:val="2"/>
            <w:vMerge w:val="continue"/>
            <w:tcBorders>
              <w:left w:val="single" w:color="000000" w:sz="4" w:space="0"/>
              <w:bottom w:val="single" w:color="000000" w:sz="4" w:space="0"/>
              <w:right w:val="single" w:color="000000" w:sz="4" w:space="0"/>
            </w:tcBorders>
            <w:shd w:val="clear" w:color="auto" w:fill="auto"/>
            <w:vAlign w:val="center"/>
          </w:tcPr>
          <w:p w14:paraId="509C57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18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AD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498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ECFA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9"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653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E17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LED室外屏</w:t>
            </w:r>
            <w:r>
              <w:rPr>
                <w:rFonts w:hint="eastAsia" w:ascii="宋体" w:hAnsi="宋体" w:cs="宋体"/>
                <w:i w:val="0"/>
                <w:iCs w:val="0"/>
                <w:color w:val="000000"/>
                <w:kern w:val="0"/>
                <w:sz w:val="24"/>
                <w:szCs w:val="24"/>
                <w:u w:val="none"/>
                <w:lang w:val="en-US" w:eastAsia="zh-CN" w:bidi="ar"/>
              </w:rPr>
              <w:t>校核服务</w:t>
            </w:r>
          </w:p>
        </w:tc>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505D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LED室外屏面积：42平方；在厂家大屏钢结构图纸上进行安装钢结构强度、位移、支座结构深化设计，出设计图、计算书并加盖公章；</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AB2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C3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CAD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BE2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11" w:type="dxa"/>
            <w:tcBorders>
              <w:top w:val="nil"/>
              <w:left w:val="single" w:color="000000" w:sz="4" w:space="0"/>
              <w:bottom w:val="single" w:color="000000" w:sz="4" w:space="0"/>
              <w:right w:val="single" w:color="000000" w:sz="4" w:space="0"/>
            </w:tcBorders>
            <w:shd w:val="clear" w:color="auto" w:fill="auto"/>
            <w:vAlign w:val="center"/>
          </w:tcPr>
          <w:p w14:paraId="41A8523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9918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9"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48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6C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LED 3D广告屏</w:t>
            </w:r>
            <w:r>
              <w:rPr>
                <w:rFonts w:hint="eastAsia" w:ascii="宋体" w:hAnsi="宋体" w:cs="宋体"/>
                <w:i w:val="0"/>
                <w:iCs w:val="0"/>
                <w:color w:val="000000"/>
                <w:kern w:val="0"/>
                <w:sz w:val="24"/>
                <w:szCs w:val="24"/>
                <w:u w:val="none"/>
                <w:lang w:val="en-US" w:eastAsia="zh-CN" w:bidi="ar"/>
              </w:rPr>
              <w:t>校核服务</w:t>
            </w:r>
          </w:p>
        </w:tc>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E558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3D广告屏面积：190平方；在厂家大屏钢结构图纸上进行安装钢结构强度、位移、支座结构深化设计，出设计图、计算书并加盖公章；</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F4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89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0FC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AC8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11" w:type="dxa"/>
            <w:tcBorders>
              <w:top w:val="nil"/>
              <w:left w:val="single" w:color="000000" w:sz="4" w:space="0"/>
              <w:bottom w:val="single" w:color="000000" w:sz="4" w:space="0"/>
              <w:right w:val="single" w:color="000000" w:sz="4" w:space="0"/>
            </w:tcBorders>
            <w:shd w:val="clear" w:color="auto" w:fill="auto"/>
            <w:vAlign w:val="center"/>
          </w:tcPr>
          <w:p w14:paraId="102DDA3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3B29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8A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p>
        </w:tc>
        <w:tc>
          <w:tcPr>
            <w:tcW w:w="104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76BA9A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1" name="Text_Box_5"/>
                  <wp:cNvGraphicFramePr/>
                  <a:graphic xmlns:a="http://schemas.openxmlformats.org/drawingml/2006/main">
                    <a:graphicData uri="http://schemas.openxmlformats.org/drawingml/2006/picture">
                      <pic:pic xmlns:pic="http://schemas.openxmlformats.org/drawingml/2006/picture">
                        <pic:nvPicPr>
                          <pic:cNvPr id="41"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9" name="Text_Box_9"/>
                  <wp:cNvGraphicFramePr/>
                  <a:graphic xmlns:a="http://schemas.openxmlformats.org/drawingml/2006/main">
                    <a:graphicData uri="http://schemas.openxmlformats.org/drawingml/2006/picture">
                      <pic:pic xmlns:pic="http://schemas.openxmlformats.org/drawingml/2006/picture">
                        <pic:nvPicPr>
                          <pic:cNvPr id="29" name="Text_Box_9"/>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8" name="Text_Box_5_SpCnt_1"/>
                  <wp:cNvGraphicFramePr/>
                  <a:graphic xmlns:a="http://schemas.openxmlformats.org/drawingml/2006/main">
                    <a:graphicData uri="http://schemas.openxmlformats.org/drawingml/2006/picture">
                      <pic:pic xmlns:pic="http://schemas.openxmlformats.org/drawingml/2006/picture">
                        <pic:nvPicPr>
                          <pic:cNvPr id="38" name="Text_Box_5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8" name="Text_Box_9_SpCnt_1"/>
                  <wp:cNvGraphicFramePr/>
                  <a:graphic xmlns:a="http://schemas.openxmlformats.org/drawingml/2006/main">
                    <a:graphicData uri="http://schemas.openxmlformats.org/drawingml/2006/picture">
                      <pic:pic xmlns:pic="http://schemas.openxmlformats.org/drawingml/2006/picture">
                        <pic:nvPicPr>
                          <pic:cNvPr id="28" name="Text_Box_9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7" name="Text_Box_12"/>
                  <wp:cNvGraphicFramePr/>
                  <a:graphic xmlns:a="http://schemas.openxmlformats.org/drawingml/2006/main">
                    <a:graphicData uri="http://schemas.openxmlformats.org/drawingml/2006/picture">
                      <pic:pic xmlns:pic="http://schemas.openxmlformats.org/drawingml/2006/picture">
                        <pic:nvPicPr>
                          <pic:cNvPr id="37" name="Text_Box_1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0" name="Text_Box_10"/>
                  <wp:cNvGraphicFramePr/>
                  <a:graphic xmlns:a="http://schemas.openxmlformats.org/drawingml/2006/main">
                    <a:graphicData uri="http://schemas.openxmlformats.org/drawingml/2006/picture">
                      <pic:pic xmlns:pic="http://schemas.openxmlformats.org/drawingml/2006/picture">
                        <pic:nvPicPr>
                          <pic:cNvPr id="30" name="Text_Box_10"/>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3" name="Text_Box_9_SpCnt_2"/>
                  <wp:cNvGraphicFramePr/>
                  <a:graphic xmlns:a="http://schemas.openxmlformats.org/drawingml/2006/main">
                    <a:graphicData uri="http://schemas.openxmlformats.org/drawingml/2006/picture">
                      <pic:pic xmlns:pic="http://schemas.openxmlformats.org/drawingml/2006/picture">
                        <pic:nvPicPr>
                          <pic:cNvPr id="33" name="Text_Box_9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6" name="Text_Box_7"/>
                  <wp:cNvGraphicFramePr/>
                  <a:graphic xmlns:a="http://schemas.openxmlformats.org/drawingml/2006/main">
                    <a:graphicData uri="http://schemas.openxmlformats.org/drawingml/2006/picture">
                      <pic:pic xmlns:pic="http://schemas.openxmlformats.org/drawingml/2006/picture">
                        <pic:nvPicPr>
                          <pic:cNvPr id="36" name="Text_Box_7"/>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9" name="Text_Box_5_SpCnt_2"/>
                  <wp:cNvGraphicFramePr/>
                  <a:graphic xmlns:a="http://schemas.openxmlformats.org/drawingml/2006/main">
                    <a:graphicData uri="http://schemas.openxmlformats.org/drawingml/2006/picture">
                      <pic:pic xmlns:pic="http://schemas.openxmlformats.org/drawingml/2006/picture">
                        <pic:nvPicPr>
                          <pic:cNvPr id="39" name="Text_Box_5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4" name="Text_Box_14"/>
                  <wp:cNvGraphicFramePr/>
                  <a:graphic xmlns:a="http://schemas.openxmlformats.org/drawingml/2006/main">
                    <a:graphicData uri="http://schemas.openxmlformats.org/drawingml/2006/picture">
                      <pic:pic xmlns:pic="http://schemas.openxmlformats.org/drawingml/2006/picture">
                        <pic:nvPicPr>
                          <pic:cNvPr id="34" name="Text_Box_14"/>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1" name="Text_Box_12_SpCnt_1"/>
                  <wp:cNvGraphicFramePr/>
                  <a:graphic xmlns:a="http://schemas.openxmlformats.org/drawingml/2006/main">
                    <a:graphicData uri="http://schemas.openxmlformats.org/drawingml/2006/picture">
                      <pic:pic xmlns:pic="http://schemas.openxmlformats.org/drawingml/2006/picture">
                        <pic:nvPicPr>
                          <pic:cNvPr id="31" name="Text_Box_12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2" name="Text_Box_7_SpCnt_1"/>
                  <wp:cNvGraphicFramePr/>
                  <a:graphic xmlns:a="http://schemas.openxmlformats.org/drawingml/2006/main">
                    <a:graphicData uri="http://schemas.openxmlformats.org/drawingml/2006/picture">
                      <pic:pic xmlns:pic="http://schemas.openxmlformats.org/drawingml/2006/picture">
                        <pic:nvPicPr>
                          <pic:cNvPr id="32" name="Text_Box_7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5" name="Text_Box_10_SpCnt_1"/>
                  <wp:cNvGraphicFramePr/>
                  <a:graphic xmlns:a="http://schemas.openxmlformats.org/drawingml/2006/main">
                    <a:graphicData uri="http://schemas.openxmlformats.org/drawingml/2006/picture">
                      <pic:pic xmlns:pic="http://schemas.openxmlformats.org/drawingml/2006/picture">
                        <pic:nvPicPr>
                          <pic:cNvPr id="35" name="Text_Box_10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2" name="Text_Box_5_SpCnt_3"/>
                  <wp:cNvGraphicFramePr/>
                  <a:graphic xmlns:a="http://schemas.openxmlformats.org/drawingml/2006/main">
                    <a:graphicData uri="http://schemas.openxmlformats.org/drawingml/2006/picture">
                      <pic:pic xmlns:pic="http://schemas.openxmlformats.org/drawingml/2006/picture">
                        <pic:nvPicPr>
                          <pic:cNvPr id="42" name="Text_Box_5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0" name="Text_Box_14_SpCnt_1"/>
                  <wp:cNvGraphicFramePr/>
                  <a:graphic xmlns:a="http://schemas.openxmlformats.org/drawingml/2006/main">
                    <a:graphicData uri="http://schemas.openxmlformats.org/drawingml/2006/picture">
                      <pic:pic xmlns:pic="http://schemas.openxmlformats.org/drawingml/2006/picture">
                        <pic:nvPicPr>
                          <pic:cNvPr id="40" name="Text_Box_14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7" name="Text_Box_12_SpCnt_2"/>
                  <wp:cNvGraphicFramePr/>
                  <a:graphic xmlns:a="http://schemas.openxmlformats.org/drawingml/2006/main">
                    <a:graphicData uri="http://schemas.openxmlformats.org/drawingml/2006/picture">
                      <pic:pic xmlns:pic="http://schemas.openxmlformats.org/drawingml/2006/picture">
                        <pic:nvPicPr>
                          <pic:cNvPr id="27" name="Text_Box_12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3" name="Text_Box_10_SpCnt_2"/>
                  <wp:cNvGraphicFramePr/>
                  <a:graphic xmlns:a="http://schemas.openxmlformats.org/drawingml/2006/main">
                    <a:graphicData uri="http://schemas.openxmlformats.org/drawingml/2006/picture">
                      <pic:pic xmlns:pic="http://schemas.openxmlformats.org/drawingml/2006/picture">
                        <pic:nvPicPr>
                          <pic:cNvPr id="43" name="Text_Box_10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8" name="Text_Box_9_SpCnt_3"/>
                  <wp:cNvGraphicFramePr/>
                  <a:graphic xmlns:a="http://schemas.openxmlformats.org/drawingml/2006/main">
                    <a:graphicData uri="http://schemas.openxmlformats.org/drawingml/2006/picture">
                      <pic:pic xmlns:pic="http://schemas.openxmlformats.org/drawingml/2006/picture">
                        <pic:nvPicPr>
                          <pic:cNvPr id="48" name="Text_Box_9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9" name="Text_Box_14_SpCnt_2"/>
                  <wp:cNvGraphicFramePr/>
                  <a:graphic xmlns:a="http://schemas.openxmlformats.org/drawingml/2006/main">
                    <a:graphicData uri="http://schemas.openxmlformats.org/drawingml/2006/picture">
                      <pic:pic xmlns:pic="http://schemas.openxmlformats.org/drawingml/2006/picture">
                        <pic:nvPicPr>
                          <pic:cNvPr id="49" name="Text_Box_14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5" name="Text_Box_7_SpCnt_2"/>
                  <wp:cNvGraphicFramePr/>
                  <a:graphic xmlns:a="http://schemas.openxmlformats.org/drawingml/2006/main">
                    <a:graphicData uri="http://schemas.openxmlformats.org/drawingml/2006/picture">
                      <pic:pic xmlns:pic="http://schemas.openxmlformats.org/drawingml/2006/picture">
                        <pic:nvPicPr>
                          <pic:cNvPr id="45" name="Text_Box_7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7" name="Text_Box_12_SpCnt_3"/>
                  <wp:cNvGraphicFramePr/>
                  <a:graphic xmlns:a="http://schemas.openxmlformats.org/drawingml/2006/main">
                    <a:graphicData uri="http://schemas.openxmlformats.org/drawingml/2006/picture">
                      <pic:pic xmlns:pic="http://schemas.openxmlformats.org/drawingml/2006/picture">
                        <pic:nvPicPr>
                          <pic:cNvPr id="47" name="Text_Box_12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4" name="Text_Box_7_SpCnt_3"/>
                  <wp:cNvGraphicFramePr/>
                  <a:graphic xmlns:a="http://schemas.openxmlformats.org/drawingml/2006/main">
                    <a:graphicData uri="http://schemas.openxmlformats.org/drawingml/2006/picture">
                      <pic:pic xmlns:pic="http://schemas.openxmlformats.org/drawingml/2006/picture">
                        <pic:nvPicPr>
                          <pic:cNvPr id="44" name="Text_Box_7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6" name="Text_Box_10_SpCnt_3"/>
                  <wp:cNvGraphicFramePr/>
                  <a:graphic xmlns:a="http://schemas.openxmlformats.org/drawingml/2006/main">
                    <a:graphicData uri="http://schemas.openxmlformats.org/drawingml/2006/picture">
                      <pic:pic xmlns:pic="http://schemas.openxmlformats.org/drawingml/2006/picture">
                        <pic:nvPicPr>
                          <pic:cNvPr id="46" name="Text_Box_10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460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556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021E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43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4B77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注：以上报价含可抵扣的增值税专用发票、运费、卸货以及相关服务费用。</w:t>
            </w:r>
          </w:p>
        </w:tc>
      </w:tr>
      <w:tr w14:paraId="59269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75B4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DA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FF0000"/>
                <w:kern w:val="2"/>
                <w:sz w:val="24"/>
                <w:szCs w:val="24"/>
                <w:u w:val="none"/>
                <w:lang w:val="en-US" w:eastAsia="zh-CN" w:bidi="ar-SA"/>
              </w:rPr>
            </w:pPr>
            <w:r>
              <w:rPr>
                <w:rFonts w:hint="eastAsia" w:ascii="宋体" w:hAnsi="宋体" w:cs="宋体"/>
                <w:i w:val="0"/>
                <w:iCs w:val="0"/>
                <w:color w:val="FF0000"/>
                <w:kern w:val="0"/>
                <w:sz w:val="24"/>
                <w:szCs w:val="24"/>
                <w:u w:val="none"/>
                <w:lang w:val="en-US" w:eastAsia="zh-CN" w:bidi="ar"/>
              </w:rPr>
              <w:t>填“是/否”</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458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50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F1C9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FF0000"/>
                <w:kern w:val="2"/>
                <w:sz w:val="24"/>
                <w:szCs w:val="24"/>
                <w:u w:val="none"/>
                <w:lang w:val="en-US" w:eastAsia="zh-CN" w:bidi="ar-SA"/>
              </w:rPr>
            </w:pPr>
            <w:r>
              <w:rPr>
                <w:rFonts w:hint="eastAsia" w:ascii="宋体" w:hAnsi="宋体" w:cs="宋体"/>
                <w:i w:val="0"/>
                <w:iCs w:val="0"/>
                <w:color w:val="FF0000"/>
                <w:kern w:val="0"/>
                <w:sz w:val="24"/>
                <w:szCs w:val="24"/>
                <w:u w:val="none"/>
                <w:lang w:val="en-US" w:eastAsia="zh-CN" w:bidi="ar"/>
              </w:rPr>
              <w:t>填“是/否”</w:t>
            </w:r>
          </w:p>
        </w:tc>
      </w:tr>
      <w:tr w14:paraId="2DB5E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75B4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服务期</w:t>
            </w:r>
            <w:r>
              <w:rPr>
                <w:rFonts w:hint="eastAsia" w:ascii="宋体" w:hAnsi="宋体" w:eastAsia="宋体" w:cs="宋体"/>
                <w:i w:val="0"/>
                <w:iCs w:val="0"/>
                <w:color w:val="000000"/>
                <w:kern w:val="0"/>
                <w:sz w:val="24"/>
                <w:szCs w:val="24"/>
                <w:u w:val="none"/>
                <w:lang w:val="en-US" w:eastAsia="zh-CN" w:bidi="ar"/>
              </w:rPr>
              <w:t xml:space="preserve">：             </w:t>
            </w:r>
          </w:p>
        </w:tc>
        <w:tc>
          <w:tcPr>
            <w:tcW w:w="4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1E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kern w:val="2"/>
                <w:sz w:val="24"/>
                <w:szCs w:val="24"/>
                <w:u w:val="none"/>
                <w:lang w:val="en-US" w:eastAsia="zh-CN" w:bidi="ar-SA"/>
              </w:rPr>
            </w:pPr>
            <w:r>
              <w:rPr>
                <w:rFonts w:hint="eastAsia" w:ascii="宋体" w:hAnsi="宋体" w:cs="宋体"/>
                <w:i w:val="0"/>
                <w:iCs w:val="0"/>
                <w:color w:val="FF0000"/>
                <w:kern w:val="0"/>
                <w:sz w:val="24"/>
                <w:szCs w:val="24"/>
                <w:u w:val="none"/>
                <w:lang w:val="en-US" w:eastAsia="zh-CN" w:bidi="ar"/>
              </w:rPr>
              <w:t>5</w:t>
            </w:r>
            <w:r>
              <w:rPr>
                <w:rFonts w:hint="eastAsia" w:ascii="宋体" w:hAnsi="宋体" w:eastAsia="宋体" w:cs="宋体"/>
                <w:i w:val="0"/>
                <w:iCs w:val="0"/>
                <w:color w:val="FF0000"/>
                <w:kern w:val="0"/>
                <w:sz w:val="24"/>
                <w:szCs w:val="24"/>
                <w:u w:val="none"/>
                <w:lang w:val="en-US" w:eastAsia="zh-CN" w:bidi="ar"/>
              </w:rPr>
              <w:t>天</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25C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50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6981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FF0000"/>
                <w:kern w:val="2"/>
                <w:sz w:val="24"/>
                <w:szCs w:val="24"/>
                <w:u w:val="none"/>
                <w:lang w:val="en-US" w:eastAsia="zh-CN" w:bidi="ar-SA"/>
              </w:rPr>
            </w:pPr>
            <w:r>
              <w:rPr>
                <w:rFonts w:hint="eastAsia" w:ascii="宋体" w:hAnsi="宋体" w:cs="宋体"/>
                <w:i w:val="0"/>
                <w:iCs w:val="0"/>
                <w:color w:val="FF0000"/>
                <w:kern w:val="0"/>
                <w:sz w:val="24"/>
                <w:szCs w:val="24"/>
                <w:u w:val="none"/>
                <w:lang w:val="en-US" w:eastAsia="zh-CN" w:bidi="ar"/>
              </w:rPr>
              <w:t>必填</w:t>
            </w:r>
          </w:p>
        </w:tc>
      </w:tr>
      <w:tr w14:paraId="60FB6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054B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bookmarkStart w:id="0" w:name="_GoBack"/>
            <w:bookmarkEnd w:id="0"/>
          </w:p>
        </w:tc>
        <w:tc>
          <w:tcPr>
            <w:tcW w:w="4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55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AF6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50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6999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FF0000"/>
                <w:sz w:val="24"/>
                <w:szCs w:val="24"/>
                <w:u w:val="none"/>
                <w:lang w:val="en-US"/>
              </w:rPr>
            </w:pPr>
            <w:r>
              <w:rPr>
                <w:rFonts w:hint="eastAsia" w:ascii="宋体" w:hAnsi="宋体" w:cs="宋体"/>
                <w:i w:val="0"/>
                <w:iCs w:val="0"/>
                <w:color w:val="FF0000"/>
                <w:kern w:val="0"/>
                <w:sz w:val="24"/>
                <w:szCs w:val="24"/>
                <w:u w:val="none"/>
                <w:lang w:val="en-US" w:eastAsia="zh-CN" w:bidi="ar"/>
              </w:rPr>
              <w:t>设计完成，经甲方</w:t>
            </w:r>
            <w:r>
              <w:rPr>
                <w:rFonts w:hint="eastAsia" w:asciiTheme="minorEastAsia" w:hAnsiTheme="minorEastAsia" w:eastAsiaTheme="minorEastAsia" w:cstheme="minorEastAsia"/>
                <w:i w:val="0"/>
                <w:iCs w:val="0"/>
                <w:color w:val="FF0000"/>
                <w:kern w:val="0"/>
                <w:sz w:val="24"/>
                <w:szCs w:val="24"/>
                <w:u w:val="none"/>
                <w:lang w:val="en-US" w:eastAsia="zh-CN" w:bidi="ar"/>
              </w:rPr>
              <w:t>验收合格</w:t>
            </w:r>
            <w:r>
              <w:rPr>
                <w:rFonts w:hint="eastAsia" w:ascii="宋体" w:hAnsi="宋体" w:cs="宋体"/>
                <w:i w:val="0"/>
                <w:iCs w:val="0"/>
                <w:color w:val="FF0000"/>
                <w:kern w:val="0"/>
                <w:sz w:val="24"/>
                <w:szCs w:val="24"/>
                <w:u w:val="none"/>
                <w:lang w:val="en-US" w:eastAsia="zh-CN" w:bidi="ar"/>
              </w:rPr>
              <w:t>后，一个月内付清全款</w:t>
            </w:r>
          </w:p>
        </w:tc>
      </w:tr>
    </w:tbl>
    <w:p w14:paraId="37A455D2">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19E54D13">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5392FB8">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2CB28438">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D94BECF">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7B3E965D">
      <w:pPr>
        <w:rPr>
          <w:rFonts w:hint="eastAsia" w:ascii="仿宋" w:hAnsi="仿宋" w:eastAsia="仿宋" w:cs="仿宋"/>
          <w:sz w:val="24"/>
          <w:szCs w:val="24"/>
        </w:rPr>
      </w:pPr>
    </w:p>
    <w:p w14:paraId="22A6D81E">
      <w:pPr>
        <w:keepNext w:val="0"/>
        <w:keepLines w:val="0"/>
        <w:pageBreakBefore w:val="0"/>
        <w:widowControl/>
        <w:numPr>
          <w:ilvl w:val="0"/>
          <w:numId w:val="3"/>
        </w:numPr>
        <w:kinsoku/>
        <w:wordWrap/>
        <w:overflowPunct/>
        <w:topLinePunct w:val="0"/>
        <w:autoSpaceDE/>
        <w:autoSpaceDN/>
        <w:bidi w:val="0"/>
        <w:adjustRightInd/>
        <w:snapToGrid/>
        <w:spacing w:beforeLines="0" w:afterLines="0"/>
        <w:ind w:left="0" w:leftChars="0" w:firstLine="482" w:firstLineChars="200"/>
        <w:jc w:val="left"/>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服务内容</w:t>
      </w:r>
    </w:p>
    <w:p w14:paraId="2C7080BC">
      <w:pPr>
        <w:keepNext w:val="0"/>
        <w:keepLines w:val="0"/>
        <w:pageBreakBefore w:val="0"/>
        <w:widowControl/>
        <w:numPr>
          <w:ilvl w:val="0"/>
          <w:numId w:val="4"/>
        </w:numPr>
        <w:kinsoku/>
        <w:wordWrap/>
        <w:overflowPunct/>
        <w:topLinePunct w:val="0"/>
        <w:autoSpaceDE/>
        <w:autoSpaceDN/>
        <w:bidi w:val="0"/>
        <w:adjustRightInd/>
        <w:snapToGrid/>
        <w:spacing w:beforeLines="0" w:afterLines="0"/>
        <w:ind w:left="0" w:leftChars="0" w:firstLine="480" w:firstLineChars="20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服务时间</w:t>
      </w:r>
    </w:p>
    <w:p w14:paraId="7BF55432">
      <w:pPr>
        <w:keepNext w:val="0"/>
        <w:keepLines w:val="0"/>
        <w:pageBreakBefore w:val="0"/>
        <w:widowControl/>
        <w:kinsoku/>
        <w:wordWrap/>
        <w:overflowPunct/>
        <w:topLinePunct w:val="0"/>
        <w:autoSpaceDE/>
        <w:autoSpaceDN/>
        <w:bidi w:val="0"/>
        <w:adjustRightInd/>
        <w:snapToGrid/>
        <w:spacing w:after="156" w:afterLines="50" w:line="50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lang w:val="en-US" w:eastAsia="zh-CN"/>
        </w:rPr>
        <w:t>自2026年  月  日，为期  年。</w:t>
      </w:r>
      <w:r>
        <w:rPr>
          <w:rFonts w:hint="eastAsia" w:ascii="仿宋" w:hAnsi="仿宋" w:eastAsia="仿宋" w:cs="仿宋"/>
          <w:color w:val="000000"/>
          <w:sz w:val="24"/>
          <w:szCs w:val="24"/>
          <w:highlight w:val="none"/>
          <w:lang w:val="en-US" w:eastAsia="zh-CN"/>
        </w:rPr>
        <w:t>本合同期限届满15个工作日内。</w:t>
      </w:r>
    </w:p>
    <w:p w14:paraId="3062328E">
      <w:pPr>
        <w:keepNext w:val="0"/>
        <w:keepLines w:val="0"/>
        <w:pageBreakBefore w:val="0"/>
        <w:widowControl/>
        <w:numPr>
          <w:ilvl w:val="0"/>
          <w:numId w:val="4"/>
        </w:numPr>
        <w:kinsoku/>
        <w:wordWrap/>
        <w:overflowPunct/>
        <w:topLinePunct w:val="0"/>
        <w:autoSpaceDE/>
        <w:autoSpaceDN/>
        <w:bidi w:val="0"/>
        <w:adjustRightInd/>
        <w:snapToGrid/>
        <w:spacing w:beforeLines="0" w:afterLines="0"/>
        <w:ind w:left="0" w:leftChars="0" w:firstLine="480" w:firstLineChars="20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服务范围</w:t>
      </w:r>
    </w:p>
    <w:p w14:paraId="1E4DC0B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1、LED室外屏面积：42平方；在厂家大屏钢结构图纸上进行安装钢结构强度、位移、支座结构深化设计，出设计图、计算书并加盖公章；</w:t>
      </w:r>
    </w:p>
    <w:p w14:paraId="3FEA735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2、3D广告屏面积：190平方；在厂家大屏钢结构图纸上进行安装钢结构强度、位移、支座结构深化设计，出设计图、计算书并加盖公章；</w:t>
      </w:r>
    </w:p>
    <w:p w14:paraId="6B3384D7">
      <w:pPr>
        <w:tabs>
          <w:tab w:val="left" w:pos="480"/>
        </w:tabs>
        <w:spacing w:line="360" w:lineRule="auto"/>
        <w:ind w:firstLine="480" w:firstLineChars="200"/>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3、甲方为乙方驻场人员提供日常维护的办公场地及必备条件，乙方必须按合同规定时间按时完成计算书工作，并提前与甲方联系相关事宜。</w:t>
      </w:r>
    </w:p>
    <w:p w14:paraId="233A2DF3">
      <w:pPr>
        <w:keepNext w:val="0"/>
        <w:keepLines w:val="0"/>
        <w:pageBreakBefore w:val="0"/>
        <w:widowControl/>
        <w:kinsoku/>
        <w:wordWrap/>
        <w:overflowPunct/>
        <w:topLinePunct w:val="0"/>
        <w:autoSpaceDE/>
        <w:autoSpaceDN/>
        <w:bidi w:val="0"/>
        <w:adjustRightInd/>
        <w:snapToGrid/>
        <w:ind w:firstLine="482" w:firstLineChars="200"/>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二、付款方式</w:t>
      </w:r>
    </w:p>
    <w:p w14:paraId="266374DE">
      <w:pPr>
        <w:numPr>
          <w:ilvl w:val="0"/>
          <w:numId w:val="0"/>
        </w:numPr>
        <w:spacing w:beforeLines="0" w:afterLines="0"/>
        <w:ind w:firstLine="480" w:firstLineChars="20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1、付款方式</w:t>
      </w:r>
    </w:p>
    <w:p w14:paraId="432DEFF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1）付款条件:设计完成，经甲方验收合格后，一个月内付清全款。注：付款时供应商须提供正规发票（因发票问题而导致无法正常付款的，责任由供应商自己承担）。</w:t>
      </w:r>
    </w:p>
    <w:p w14:paraId="1E82B278">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685CE62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667FCB13">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62C88926">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47D3E596">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35CAA77D">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10052DDC">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43D97367">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21075C2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5D006342">
      <w:pPr>
        <w:keepNext w:val="0"/>
        <w:keepLines w:val="0"/>
        <w:pageBreakBefore w:val="0"/>
        <w:widowControl/>
        <w:kinsoku/>
        <w:wordWrap/>
        <w:overflowPunct/>
        <w:topLinePunct w:val="0"/>
        <w:autoSpaceDE/>
        <w:autoSpaceDN/>
        <w:bidi w:val="0"/>
        <w:adjustRightInd/>
        <w:snapToGrid/>
        <w:ind w:firstLine="482" w:firstLineChars="200"/>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三、</w:t>
      </w:r>
      <w:r>
        <w:rPr>
          <w:rFonts w:hint="eastAsia" w:ascii="仿宋" w:hAnsi="仿宋" w:eastAsia="仿宋" w:cs="仿宋"/>
          <w:b/>
          <w:bCs/>
          <w:color w:val="000000"/>
          <w:sz w:val="24"/>
          <w:szCs w:val="24"/>
        </w:rPr>
        <w:t>双方</w:t>
      </w:r>
      <w:r>
        <w:rPr>
          <w:rFonts w:hint="eastAsia" w:ascii="仿宋" w:hAnsi="仿宋" w:eastAsia="仿宋" w:cs="仿宋"/>
          <w:b/>
          <w:bCs/>
          <w:color w:val="000000"/>
          <w:sz w:val="24"/>
          <w:szCs w:val="24"/>
          <w:lang w:val="en-US" w:eastAsia="zh-CN"/>
        </w:rPr>
        <w:t>权利、义务</w:t>
      </w:r>
    </w:p>
    <w:p w14:paraId="76046D57">
      <w:pPr>
        <w:numPr>
          <w:ilvl w:val="0"/>
          <w:numId w:val="0"/>
        </w:numPr>
        <w:spacing w:beforeLines="0" w:afterLines="0"/>
        <w:ind w:firstLine="482" w:firstLineChars="200"/>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1、</w:t>
      </w:r>
      <w:r>
        <w:rPr>
          <w:rFonts w:hint="eastAsia" w:ascii="仿宋" w:hAnsi="仿宋" w:eastAsia="仿宋" w:cs="仿宋"/>
          <w:b/>
          <w:bCs/>
          <w:color w:val="000000"/>
          <w:sz w:val="24"/>
          <w:szCs w:val="24"/>
        </w:rPr>
        <w:t>甲方</w:t>
      </w:r>
      <w:r>
        <w:rPr>
          <w:rFonts w:hint="eastAsia" w:ascii="仿宋" w:hAnsi="仿宋" w:eastAsia="仿宋" w:cs="仿宋"/>
          <w:b/>
          <w:bCs/>
          <w:color w:val="000000"/>
          <w:sz w:val="24"/>
          <w:szCs w:val="24"/>
          <w:lang w:val="en-US" w:eastAsia="zh-CN"/>
        </w:rPr>
        <w:t>的权利与义务</w:t>
      </w:r>
    </w:p>
    <w:p w14:paraId="393262BC">
      <w:pPr>
        <w:keepNext w:val="0"/>
        <w:keepLines w:val="0"/>
        <w:pageBreakBefore w:val="0"/>
        <w:widowControl/>
        <w:numPr>
          <w:ilvl w:val="0"/>
          <w:numId w:val="5"/>
        </w:numPr>
        <w:kinsoku/>
        <w:wordWrap/>
        <w:overflowPunct/>
        <w:topLinePunct w:val="0"/>
        <w:autoSpaceDE/>
        <w:autoSpaceDN/>
        <w:bidi w:val="0"/>
        <w:adjustRightInd/>
        <w:snapToGrid/>
        <w:spacing w:beforeLines="0" w:afterLines="0"/>
        <w:ind w:left="0" w:leftChars="0" w:firstLine="480" w:firstLineChars="20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有权要求乙方人员按照甲方规章进行相关设计工作；</w:t>
      </w:r>
    </w:p>
    <w:p w14:paraId="0C0F94AC">
      <w:pPr>
        <w:keepNext w:val="0"/>
        <w:keepLines w:val="0"/>
        <w:pageBreakBefore w:val="0"/>
        <w:widowControl/>
        <w:numPr>
          <w:ilvl w:val="0"/>
          <w:numId w:val="5"/>
        </w:numPr>
        <w:kinsoku/>
        <w:wordWrap/>
        <w:overflowPunct/>
        <w:topLinePunct w:val="0"/>
        <w:autoSpaceDE/>
        <w:autoSpaceDN/>
        <w:bidi w:val="0"/>
        <w:adjustRightInd/>
        <w:snapToGrid/>
        <w:spacing w:beforeLines="0" w:afterLines="0"/>
        <w:ind w:left="0" w:leftChars="0" w:firstLine="480" w:firstLineChars="20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有权对乙方的人员和进度进行检查，有权提出整改并督促乙方执行；</w:t>
      </w:r>
    </w:p>
    <w:p w14:paraId="7A6109F5">
      <w:pPr>
        <w:keepNext w:val="0"/>
        <w:keepLines w:val="0"/>
        <w:pageBreakBefore w:val="0"/>
        <w:widowControl/>
        <w:numPr>
          <w:ilvl w:val="0"/>
          <w:numId w:val="5"/>
        </w:numPr>
        <w:kinsoku/>
        <w:wordWrap/>
        <w:overflowPunct/>
        <w:topLinePunct w:val="0"/>
        <w:autoSpaceDE/>
        <w:autoSpaceDN/>
        <w:bidi w:val="0"/>
        <w:adjustRightInd/>
        <w:snapToGrid/>
        <w:spacing w:beforeLines="0" w:afterLines="0"/>
        <w:ind w:left="0" w:leftChars="0" w:firstLine="480" w:firstLineChars="20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向乙方提供设计过程中的资源协调工作；</w:t>
      </w:r>
    </w:p>
    <w:p w14:paraId="6E0798AF">
      <w:pPr>
        <w:keepNext w:val="0"/>
        <w:keepLines w:val="0"/>
        <w:pageBreakBefore w:val="0"/>
        <w:widowControl/>
        <w:numPr>
          <w:ilvl w:val="0"/>
          <w:numId w:val="5"/>
        </w:numPr>
        <w:kinsoku/>
        <w:wordWrap/>
        <w:overflowPunct/>
        <w:topLinePunct w:val="0"/>
        <w:autoSpaceDE/>
        <w:autoSpaceDN/>
        <w:bidi w:val="0"/>
        <w:adjustRightInd/>
        <w:snapToGrid/>
        <w:spacing w:beforeLines="0" w:afterLines="0"/>
        <w:ind w:left="0" w:leftChars="0" w:firstLine="480" w:firstLineChars="20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定期做好数据备份，并对备份数据进行妥善保管；</w:t>
      </w:r>
    </w:p>
    <w:p w14:paraId="3F1F7615">
      <w:pPr>
        <w:keepNext w:val="0"/>
        <w:keepLines w:val="0"/>
        <w:pageBreakBefore w:val="0"/>
        <w:widowControl/>
        <w:numPr>
          <w:ilvl w:val="0"/>
          <w:numId w:val="5"/>
        </w:numPr>
        <w:kinsoku/>
        <w:wordWrap/>
        <w:overflowPunct/>
        <w:topLinePunct w:val="0"/>
        <w:autoSpaceDE/>
        <w:autoSpaceDN/>
        <w:bidi w:val="0"/>
        <w:adjustRightInd/>
        <w:snapToGrid/>
        <w:spacing w:beforeLines="0" w:afterLines="0"/>
        <w:ind w:left="0" w:leftChars="0" w:firstLine="480" w:firstLineChars="20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按合同规定支付乙方设计服务费。</w:t>
      </w:r>
    </w:p>
    <w:p w14:paraId="39735A01">
      <w:pPr>
        <w:numPr>
          <w:ilvl w:val="0"/>
          <w:numId w:val="0"/>
        </w:numPr>
        <w:spacing w:beforeLines="0" w:afterLines="0"/>
        <w:ind w:leftChars="0" w:firstLine="482" w:firstLineChars="200"/>
        <w:jc w:val="left"/>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2、</w:t>
      </w:r>
      <w:r>
        <w:rPr>
          <w:rFonts w:hint="eastAsia" w:ascii="仿宋" w:hAnsi="仿宋" w:eastAsia="仿宋" w:cs="仿宋"/>
          <w:b/>
          <w:bCs/>
          <w:color w:val="000000"/>
          <w:sz w:val="24"/>
          <w:szCs w:val="24"/>
        </w:rPr>
        <w:t>乙方</w:t>
      </w:r>
      <w:r>
        <w:rPr>
          <w:rFonts w:hint="eastAsia" w:ascii="仿宋" w:hAnsi="仿宋" w:eastAsia="仿宋" w:cs="仿宋"/>
          <w:b/>
          <w:bCs/>
          <w:color w:val="000000"/>
          <w:sz w:val="24"/>
          <w:szCs w:val="24"/>
          <w:lang w:val="en-US" w:eastAsia="zh-CN"/>
        </w:rPr>
        <w:t>的权利与义务</w:t>
      </w:r>
    </w:p>
    <w:p w14:paraId="6149E091">
      <w:pPr>
        <w:keepNext w:val="0"/>
        <w:keepLines w:val="0"/>
        <w:pageBreakBefore w:val="0"/>
        <w:widowControl/>
        <w:numPr>
          <w:ilvl w:val="0"/>
          <w:numId w:val="6"/>
        </w:numPr>
        <w:kinsoku/>
        <w:wordWrap/>
        <w:overflowPunct/>
        <w:topLinePunct w:val="0"/>
        <w:autoSpaceDE/>
        <w:autoSpaceDN/>
        <w:bidi w:val="0"/>
        <w:adjustRightInd/>
        <w:snapToGrid/>
        <w:spacing w:beforeLines="0" w:afterLines="0"/>
        <w:ind w:left="0" w:leftChars="0" w:firstLine="480" w:firstLineChars="20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有权要求甲方提供相关办公环境，包括办公场所、设备工具存放地点等；</w:t>
      </w:r>
    </w:p>
    <w:p w14:paraId="1CF7C9BD">
      <w:pPr>
        <w:keepNext w:val="0"/>
        <w:keepLines w:val="0"/>
        <w:pageBreakBefore w:val="0"/>
        <w:widowControl/>
        <w:numPr>
          <w:ilvl w:val="0"/>
          <w:numId w:val="6"/>
        </w:numPr>
        <w:kinsoku/>
        <w:wordWrap/>
        <w:overflowPunct/>
        <w:topLinePunct w:val="0"/>
        <w:autoSpaceDE/>
        <w:autoSpaceDN/>
        <w:bidi w:val="0"/>
        <w:adjustRightInd/>
        <w:snapToGrid/>
        <w:spacing w:beforeLines="0" w:afterLines="0"/>
        <w:ind w:left="0" w:leftChars="0" w:firstLine="480" w:firstLineChars="20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有权要求甲方协调服务过程中所需的资源，包括人员、数据、接口等；</w:t>
      </w:r>
    </w:p>
    <w:p w14:paraId="5525FCDB">
      <w:pPr>
        <w:keepNext w:val="0"/>
        <w:keepLines w:val="0"/>
        <w:pageBreakBefore w:val="0"/>
        <w:widowControl/>
        <w:numPr>
          <w:ilvl w:val="0"/>
          <w:numId w:val="6"/>
        </w:numPr>
        <w:kinsoku/>
        <w:wordWrap/>
        <w:overflowPunct/>
        <w:topLinePunct w:val="0"/>
        <w:autoSpaceDE/>
        <w:autoSpaceDN/>
        <w:bidi w:val="0"/>
        <w:adjustRightInd/>
        <w:snapToGrid/>
        <w:spacing w:beforeLines="0" w:afterLines="0"/>
        <w:ind w:left="0" w:leftChars="0" w:firstLine="480" w:firstLineChars="20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提供日常维护的易损的辅材、易耗备件、低值易耗类备品备件；</w:t>
      </w:r>
    </w:p>
    <w:p w14:paraId="3492A755">
      <w:pPr>
        <w:keepNext w:val="0"/>
        <w:keepLines w:val="0"/>
        <w:pageBreakBefore w:val="0"/>
        <w:widowControl/>
        <w:numPr>
          <w:ilvl w:val="0"/>
          <w:numId w:val="6"/>
        </w:numPr>
        <w:kinsoku/>
        <w:wordWrap/>
        <w:overflowPunct/>
        <w:topLinePunct w:val="0"/>
        <w:autoSpaceDE/>
        <w:autoSpaceDN/>
        <w:bidi w:val="0"/>
        <w:adjustRightInd/>
        <w:snapToGrid/>
        <w:spacing w:beforeLines="0" w:afterLines="0"/>
        <w:ind w:left="0" w:leftChars="0" w:firstLine="480" w:firstLineChars="20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在乙方按照合同完成服务，有权要求甲方按本合同规定付款；</w:t>
      </w:r>
    </w:p>
    <w:p w14:paraId="2ABFEDAC">
      <w:pPr>
        <w:keepNext w:val="0"/>
        <w:keepLines w:val="0"/>
        <w:pageBreakBefore w:val="0"/>
        <w:widowControl/>
        <w:numPr>
          <w:ilvl w:val="0"/>
          <w:numId w:val="6"/>
        </w:numPr>
        <w:kinsoku/>
        <w:wordWrap/>
        <w:overflowPunct/>
        <w:topLinePunct w:val="0"/>
        <w:autoSpaceDE/>
        <w:autoSpaceDN/>
        <w:bidi w:val="0"/>
        <w:adjustRightInd/>
        <w:snapToGrid/>
        <w:spacing w:beforeLines="0" w:afterLines="0"/>
        <w:ind w:left="0" w:leftChars="0" w:firstLine="480" w:firstLineChars="20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提供现场技术服务工作；</w:t>
      </w:r>
    </w:p>
    <w:p w14:paraId="78BA4CE5">
      <w:pPr>
        <w:keepNext w:val="0"/>
        <w:keepLines w:val="0"/>
        <w:pageBreakBefore w:val="0"/>
        <w:widowControl/>
        <w:numPr>
          <w:ilvl w:val="0"/>
          <w:numId w:val="6"/>
        </w:numPr>
        <w:kinsoku/>
        <w:wordWrap/>
        <w:overflowPunct/>
        <w:topLinePunct w:val="0"/>
        <w:autoSpaceDE/>
        <w:autoSpaceDN/>
        <w:bidi w:val="0"/>
        <w:adjustRightInd/>
        <w:snapToGrid/>
        <w:spacing w:beforeLines="0" w:afterLines="0"/>
        <w:ind w:left="0" w:leftChars="0" w:firstLine="480" w:firstLineChars="20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遵守甲方规章制度和相关服务要求；</w:t>
      </w:r>
    </w:p>
    <w:p w14:paraId="186E9E57">
      <w:pPr>
        <w:spacing w:beforeLines="0" w:afterLines="0"/>
        <w:ind w:firstLine="482" w:firstLineChars="200"/>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四、</w:t>
      </w:r>
      <w:r>
        <w:rPr>
          <w:rFonts w:hint="eastAsia" w:ascii="仿宋" w:hAnsi="仿宋" w:eastAsia="仿宋" w:cs="仿宋"/>
          <w:b/>
          <w:bCs/>
          <w:color w:val="000000"/>
          <w:sz w:val="24"/>
          <w:szCs w:val="24"/>
        </w:rPr>
        <w:t>违约责任及索赔</w:t>
      </w:r>
    </w:p>
    <w:p w14:paraId="49DC1358">
      <w:pPr>
        <w:spacing w:beforeLines="0" w:afterLines="0"/>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甲乙双方任何一方违反合同，造成对方经济损失的，应给予对方经济赔偿。</w:t>
      </w:r>
    </w:p>
    <w:p w14:paraId="5E48AE65">
      <w:pPr>
        <w:spacing w:beforeLines="0" w:afterLines="0"/>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如果甲乙双方就赔偿或补偿的方式、金额等存在明显分歧或争议，不能达成一致意见的，乙方可通过诉讼或仲裁(如有约定)等法律救济途径确定损失数额，甲方应按生效法律文书及时支付赔偿或补偿款项。</w:t>
      </w:r>
    </w:p>
    <w:p w14:paraId="3EB44726">
      <w:pPr>
        <w:spacing w:beforeLines="0" w:afterLines="0"/>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甲方</w:t>
      </w:r>
      <w:r>
        <w:rPr>
          <w:rFonts w:hint="eastAsia" w:ascii="仿宋" w:hAnsi="仿宋" w:eastAsia="仿宋" w:cs="仿宋"/>
          <w:color w:val="000000"/>
          <w:sz w:val="24"/>
          <w:szCs w:val="24"/>
          <w:lang w:val="en-US" w:eastAsia="zh-CN"/>
        </w:rPr>
        <w:t>逾期付款则按应支付合同金额0.5%日支付违约金给甲方，同时乙方有权进行催告，</w:t>
      </w:r>
      <w:r>
        <w:rPr>
          <w:rFonts w:hint="eastAsia" w:ascii="仿宋" w:hAnsi="仿宋" w:eastAsia="仿宋" w:cs="仿宋"/>
          <w:color w:val="000000"/>
          <w:sz w:val="24"/>
          <w:szCs w:val="24"/>
        </w:rPr>
        <w:t>甲方应付费用拖欠60天后，乙方有权终止本合同承担的管理目标及责任。</w:t>
      </w:r>
    </w:p>
    <w:p w14:paraId="3CECE01D">
      <w:pPr>
        <w:spacing w:beforeLines="0" w:afterLines="0"/>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乙方未能履行合同义务（除不可抗力因素外），不能完成管理和服务目标，甲方有权要求乙方给予甲方经济赔偿。</w:t>
      </w:r>
    </w:p>
    <w:p w14:paraId="444F3E7E">
      <w:pPr>
        <w:numPr>
          <w:ilvl w:val="0"/>
          <w:numId w:val="0"/>
        </w:numPr>
        <w:spacing w:beforeLines="0" w:afterLines="0"/>
        <w:ind w:leftChars="0" w:firstLine="482" w:firstLineChars="200"/>
        <w:jc w:val="left"/>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五、不可抗力</w:t>
      </w:r>
    </w:p>
    <w:p w14:paraId="49860329">
      <w:pPr>
        <w:spacing w:beforeLines="0" w:afterLines="0"/>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4FE1CEE7">
      <w:pPr>
        <w:spacing w:beforeLines="0" w:afterLines="0"/>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3178DF07">
      <w:pPr>
        <w:spacing w:beforeLines="0" w:afterLines="0"/>
        <w:ind w:firstLine="482" w:firstLineChars="200"/>
        <w:jc w:val="left"/>
        <w:rPr>
          <w:rFonts w:hint="eastAsia" w:ascii="仿宋" w:hAnsi="仿宋" w:eastAsia="仿宋" w:cs="仿宋"/>
          <w:b/>
          <w:bCs/>
          <w:sz w:val="24"/>
          <w:szCs w:val="24"/>
        </w:rPr>
      </w:pPr>
      <w:r>
        <w:rPr>
          <w:rFonts w:hint="eastAsia" w:ascii="仿宋" w:hAnsi="仿宋" w:eastAsia="仿宋" w:cs="仿宋"/>
          <w:b/>
          <w:bCs/>
          <w:sz w:val="24"/>
          <w:szCs w:val="24"/>
          <w:lang w:val="en-US" w:eastAsia="zh-CN"/>
        </w:rPr>
        <w:t>六、</w:t>
      </w:r>
      <w:r>
        <w:rPr>
          <w:rFonts w:hint="eastAsia" w:ascii="仿宋" w:hAnsi="仿宋" w:eastAsia="仿宋" w:cs="仿宋"/>
          <w:b/>
          <w:bCs/>
          <w:sz w:val="24"/>
          <w:szCs w:val="24"/>
        </w:rPr>
        <w:t>其他</w:t>
      </w:r>
    </w:p>
    <w:p w14:paraId="2A14FDC9">
      <w:pPr>
        <w:spacing w:beforeLines="0" w:afterLines="0"/>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1、本合同在履行中若发生争议，双方应协商解决。协商不成时，提交甲方所在地人民法院起诉。</w:t>
      </w:r>
    </w:p>
    <w:p w14:paraId="7426697E">
      <w:pPr>
        <w:spacing w:beforeLines="0" w:afterLines="0"/>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2、本合同一式叁份，甲方贰份，乙方壹份，具有同等法律效力。</w:t>
      </w:r>
    </w:p>
    <w:p w14:paraId="729EDA01">
      <w:pPr>
        <w:spacing w:beforeLines="0" w:afterLines="0"/>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3、本合同签字盖章后生效</w:t>
      </w:r>
      <w:r>
        <w:rPr>
          <w:rFonts w:hint="eastAsia" w:ascii="仿宋" w:hAnsi="仿宋" w:eastAsia="仿宋" w:cs="仿宋"/>
          <w:sz w:val="24"/>
          <w:szCs w:val="24"/>
        </w:rPr>
        <w:t>。</w:t>
      </w:r>
      <w:r>
        <w:rPr>
          <w:rFonts w:hint="eastAsia" w:ascii="仿宋" w:hAnsi="仿宋" w:eastAsia="仿宋" w:cs="仿宋"/>
          <w:sz w:val="24"/>
          <w:szCs w:val="24"/>
          <w:lang w:val="en-US" w:eastAsia="zh-CN"/>
        </w:rPr>
        <w:t>本合同的变更必须有双方协商一致，并以书面形式确定。</w:t>
      </w:r>
    </w:p>
    <w:p w14:paraId="2DABF75E">
      <w:pPr>
        <w:spacing w:beforeLines="0" w:afterLines="0"/>
        <w:jc w:val="left"/>
        <w:rPr>
          <w:rFonts w:hint="eastAsia" w:ascii="仿宋" w:hAnsi="仿宋" w:eastAsia="仿宋" w:cs="仿宋"/>
          <w:sz w:val="24"/>
          <w:szCs w:val="24"/>
          <w:lang w:val="en-US" w:eastAsia="zh-CN"/>
        </w:rPr>
      </w:pPr>
    </w:p>
    <w:p w14:paraId="4B55152A">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0673E18E">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4073C956">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6B29D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3C3157D7">
      <w:pPr>
        <w:pStyle w:val="28"/>
        <w:rPr>
          <w:rFonts w:hint="eastAsia" w:ascii="仿宋" w:hAnsi="仿宋" w:eastAsia="仿宋" w:cs="仿宋"/>
          <w:sz w:val="24"/>
          <w:szCs w:val="24"/>
        </w:rPr>
      </w:pPr>
    </w:p>
    <w:p w14:paraId="61127C59"/>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2A3485"/>
    <w:multiLevelType w:val="singleLevel"/>
    <w:tmpl w:val="AB2A3485"/>
    <w:lvl w:ilvl="0" w:tentative="0">
      <w:start w:val="1"/>
      <w:numFmt w:val="decimal"/>
      <w:suff w:val="nothing"/>
      <w:lvlText w:val="%1、"/>
      <w:lvlJc w:val="left"/>
    </w:lvl>
  </w:abstractNum>
  <w:abstractNum w:abstractNumId="1">
    <w:nsid w:val="C2E9C742"/>
    <w:multiLevelType w:val="singleLevel"/>
    <w:tmpl w:val="C2E9C742"/>
    <w:lvl w:ilvl="0" w:tentative="0">
      <w:start w:val="1"/>
      <w:numFmt w:val="decimal"/>
      <w:suff w:val="nothing"/>
      <w:lvlText w:val="%1）"/>
      <w:lvlJc w:val="left"/>
    </w:lvl>
  </w:abstractNum>
  <w:abstractNum w:abstractNumId="2">
    <w:nsid w:val="477F4FBA"/>
    <w:multiLevelType w:val="singleLevel"/>
    <w:tmpl w:val="477F4FBA"/>
    <w:lvl w:ilvl="0" w:tentative="0">
      <w:start w:val="1"/>
      <w:numFmt w:val="decimal"/>
      <w:suff w:val="nothing"/>
      <w:lvlText w:val="%1）"/>
      <w:lvlJc w:val="left"/>
    </w:lvl>
  </w:abstractNum>
  <w:abstractNum w:abstractNumId="3">
    <w:nsid w:val="4D741CA4"/>
    <w:multiLevelType w:val="singleLevel"/>
    <w:tmpl w:val="4D741CA4"/>
    <w:lvl w:ilvl="0" w:tentative="0">
      <w:start w:val="1"/>
      <w:numFmt w:val="chineseCounting"/>
      <w:suff w:val="nothing"/>
      <w:lvlText w:val="%1、"/>
      <w:lvlJc w:val="left"/>
      <w:pPr>
        <w:ind w:left="345" w:leftChars="0" w:firstLine="0" w:firstLineChars="0"/>
      </w:pPr>
      <w:rPr>
        <w:rFonts w:hint="eastAsia"/>
      </w:rPr>
    </w:lvl>
  </w:abstractNum>
  <w:abstractNum w:abstractNumId="4">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5">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A47DE8"/>
    <w:rsid w:val="02AF3174"/>
    <w:rsid w:val="02B01361"/>
    <w:rsid w:val="02BD280C"/>
    <w:rsid w:val="02BD7BE0"/>
    <w:rsid w:val="02C32E43"/>
    <w:rsid w:val="03626CD0"/>
    <w:rsid w:val="03BB36BB"/>
    <w:rsid w:val="03DD39F2"/>
    <w:rsid w:val="043D0B01"/>
    <w:rsid w:val="04741F2A"/>
    <w:rsid w:val="04F4154D"/>
    <w:rsid w:val="058E7D29"/>
    <w:rsid w:val="06E65ABA"/>
    <w:rsid w:val="07A1571D"/>
    <w:rsid w:val="07A32B45"/>
    <w:rsid w:val="07CC21FA"/>
    <w:rsid w:val="08193505"/>
    <w:rsid w:val="082F30B8"/>
    <w:rsid w:val="0886108C"/>
    <w:rsid w:val="0914323A"/>
    <w:rsid w:val="09287EA3"/>
    <w:rsid w:val="09DB488A"/>
    <w:rsid w:val="09FE7C7D"/>
    <w:rsid w:val="0A443009"/>
    <w:rsid w:val="0A831766"/>
    <w:rsid w:val="0B48482D"/>
    <w:rsid w:val="0B9F15E2"/>
    <w:rsid w:val="0BC2638F"/>
    <w:rsid w:val="0BDC6B78"/>
    <w:rsid w:val="0C882A07"/>
    <w:rsid w:val="0CD142BE"/>
    <w:rsid w:val="0D5154EF"/>
    <w:rsid w:val="0D681C76"/>
    <w:rsid w:val="0D78696A"/>
    <w:rsid w:val="0DBF30C4"/>
    <w:rsid w:val="0DD96789"/>
    <w:rsid w:val="0EE228A3"/>
    <w:rsid w:val="0F0F7410"/>
    <w:rsid w:val="100159F1"/>
    <w:rsid w:val="10275305"/>
    <w:rsid w:val="10941E2C"/>
    <w:rsid w:val="1106690F"/>
    <w:rsid w:val="115C3F6A"/>
    <w:rsid w:val="11CC2447"/>
    <w:rsid w:val="11F315DF"/>
    <w:rsid w:val="123B094E"/>
    <w:rsid w:val="127128AB"/>
    <w:rsid w:val="12BB3C49"/>
    <w:rsid w:val="133B07D3"/>
    <w:rsid w:val="138B678C"/>
    <w:rsid w:val="13A43BC7"/>
    <w:rsid w:val="144B0B25"/>
    <w:rsid w:val="14EA24B1"/>
    <w:rsid w:val="14F94AB5"/>
    <w:rsid w:val="1516314A"/>
    <w:rsid w:val="157C124F"/>
    <w:rsid w:val="15A123AF"/>
    <w:rsid w:val="15B405D8"/>
    <w:rsid w:val="15F226EB"/>
    <w:rsid w:val="16B37629"/>
    <w:rsid w:val="17011989"/>
    <w:rsid w:val="170F66BD"/>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20A69"/>
    <w:rsid w:val="1F741D8C"/>
    <w:rsid w:val="1FC0011B"/>
    <w:rsid w:val="1FF000D2"/>
    <w:rsid w:val="1FF040AD"/>
    <w:rsid w:val="200C3464"/>
    <w:rsid w:val="216631FB"/>
    <w:rsid w:val="22E5075C"/>
    <w:rsid w:val="22EF39E7"/>
    <w:rsid w:val="23562388"/>
    <w:rsid w:val="23AE3211"/>
    <w:rsid w:val="23B60935"/>
    <w:rsid w:val="245503E6"/>
    <w:rsid w:val="24874408"/>
    <w:rsid w:val="24883CAD"/>
    <w:rsid w:val="24BF2D95"/>
    <w:rsid w:val="259D1AFE"/>
    <w:rsid w:val="25BA7F75"/>
    <w:rsid w:val="25DE44B5"/>
    <w:rsid w:val="264801BD"/>
    <w:rsid w:val="267537D8"/>
    <w:rsid w:val="26A67AF4"/>
    <w:rsid w:val="26D0702D"/>
    <w:rsid w:val="26F210C8"/>
    <w:rsid w:val="27933CD9"/>
    <w:rsid w:val="27B75BEB"/>
    <w:rsid w:val="27C052F3"/>
    <w:rsid w:val="28126BBF"/>
    <w:rsid w:val="281D45C6"/>
    <w:rsid w:val="28AF7842"/>
    <w:rsid w:val="292E08DE"/>
    <w:rsid w:val="29633CCD"/>
    <w:rsid w:val="29A46C7B"/>
    <w:rsid w:val="29E622D3"/>
    <w:rsid w:val="2A225DF1"/>
    <w:rsid w:val="2A9A0870"/>
    <w:rsid w:val="2B394C5B"/>
    <w:rsid w:val="2B6A410E"/>
    <w:rsid w:val="2B90494A"/>
    <w:rsid w:val="2B9E5DD1"/>
    <w:rsid w:val="2C5524AE"/>
    <w:rsid w:val="2C761843"/>
    <w:rsid w:val="2D4E2C33"/>
    <w:rsid w:val="2D574004"/>
    <w:rsid w:val="2DC647A7"/>
    <w:rsid w:val="2E1B2848"/>
    <w:rsid w:val="2E1C17E4"/>
    <w:rsid w:val="2E342253"/>
    <w:rsid w:val="2FA05CF7"/>
    <w:rsid w:val="300D6BCC"/>
    <w:rsid w:val="301F6546"/>
    <w:rsid w:val="30246158"/>
    <w:rsid w:val="30A001AC"/>
    <w:rsid w:val="31140310"/>
    <w:rsid w:val="316F64A7"/>
    <w:rsid w:val="318F1FBE"/>
    <w:rsid w:val="33230EA1"/>
    <w:rsid w:val="337A506E"/>
    <w:rsid w:val="339B7C29"/>
    <w:rsid w:val="345319C9"/>
    <w:rsid w:val="34806859"/>
    <w:rsid w:val="35B009D2"/>
    <w:rsid w:val="35CB384D"/>
    <w:rsid w:val="362D741D"/>
    <w:rsid w:val="367C1D24"/>
    <w:rsid w:val="37A7439E"/>
    <w:rsid w:val="37CA2BC5"/>
    <w:rsid w:val="37F03342"/>
    <w:rsid w:val="38544E55"/>
    <w:rsid w:val="38740160"/>
    <w:rsid w:val="38D11947"/>
    <w:rsid w:val="39064FC8"/>
    <w:rsid w:val="39796812"/>
    <w:rsid w:val="39963E4D"/>
    <w:rsid w:val="399C3F24"/>
    <w:rsid w:val="3A2C48CD"/>
    <w:rsid w:val="3A3A169D"/>
    <w:rsid w:val="3A491A2A"/>
    <w:rsid w:val="3B0F7CBC"/>
    <w:rsid w:val="3B275F4B"/>
    <w:rsid w:val="3CE33B06"/>
    <w:rsid w:val="3D097BD2"/>
    <w:rsid w:val="3D2363DE"/>
    <w:rsid w:val="3DA64A40"/>
    <w:rsid w:val="3E015FF2"/>
    <w:rsid w:val="3E4F32EC"/>
    <w:rsid w:val="3E5157CB"/>
    <w:rsid w:val="3E6D1EE0"/>
    <w:rsid w:val="3F3D1F51"/>
    <w:rsid w:val="3F5900B0"/>
    <w:rsid w:val="3F9B2476"/>
    <w:rsid w:val="40112738"/>
    <w:rsid w:val="40130CAF"/>
    <w:rsid w:val="40490B34"/>
    <w:rsid w:val="40C41559"/>
    <w:rsid w:val="420E65EA"/>
    <w:rsid w:val="421050D4"/>
    <w:rsid w:val="42424E2B"/>
    <w:rsid w:val="42A9416B"/>
    <w:rsid w:val="42BF1B92"/>
    <w:rsid w:val="435E2995"/>
    <w:rsid w:val="4380190E"/>
    <w:rsid w:val="43966372"/>
    <w:rsid w:val="44EF43A5"/>
    <w:rsid w:val="45704109"/>
    <w:rsid w:val="46AE2EAA"/>
    <w:rsid w:val="46B06807"/>
    <w:rsid w:val="477060B2"/>
    <w:rsid w:val="47D32116"/>
    <w:rsid w:val="48116822"/>
    <w:rsid w:val="48832749"/>
    <w:rsid w:val="48CC36A0"/>
    <w:rsid w:val="48F74C1F"/>
    <w:rsid w:val="493C6A78"/>
    <w:rsid w:val="49971A24"/>
    <w:rsid w:val="49AB2DE5"/>
    <w:rsid w:val="4A0D21C2"/>
    <w:rsid w:val="4A0E06F8"/>
    <w:rsid w:val="4A58343D"/>
    <w:rsid w:val="4B1A7BD1"/>
    <w:rsid w:val="4BAB6050"/>
    <w:rsid w:val="4BB038DA"/>
    <w:rsid w:val="4C73767A"/>
    <w:rsid w:val="4D030046"/>
    <w:rsid w:val="4D5A74CD"/>
    <w:rsid w:val="4D871781"/>
    <w:rsid w:val="4E037B64"/>
    <w:rsid w:val="4E802F1D"/>
    <w:rsid w:val="4EF042FA"/>
    <w:rsid w:val="4FAF448B"/>
    <w:rsid w:val="500F2318"/>
    <w:rsid w:val="5012408F"/>
    <w:rsid w:val="50417986"/>
    <w:rsid w:val="50C10961"/>
    <w:rsid w:val="50F73FA0"/>
    <w:rsid w:val="515E18DF"/>
    <w:rsid w:val="51765D9A"/>
    <w:rsid w:val="517D0941"/>
    <w:rsid w:val="521C7398"/>
    <w:rsid w:val="52446C35"/>
    <w:rsid w:val="527E16D3"/>
    <w:rsid w:val="528B2778"/>
    <w:rsid w:val="52C14E18"/>
    <w:rsid w:val="5316709E"/>
    <w:rsid w:val="534B7B17"/>
    <w:rsid w:val="54AB554F"/>
    <w:rsid w:val="54B57C0A"/>
    <w:rsid w:val="55FF6B96"/>
    <w:rsid w:val="56E07198"/>
    <w:rsid w:val="56E914B5"/>
    <w:rsid w:val="57221F02"/>
    <w:rsid w:val="57877110"/>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206DA5"/>
    <w:rsid w:val="5FE226DD"/>
    <w:rsid w:val="60C33852"/>
    <w:rsid w:val="61547E11"/>
    <w:rsid w:val="61852A60"/>
    <w:rsid w:val="62567581"/>
    <w:rsid w:val="631F4682"/>
    <w:rsid w:val="63D4721D"/>
    <w:rsid w:val="640673E3"/>
    <w:rsid w:val="640F17B5"/>
    <w:rsid w:val="64467711"/>
    <w:rsid w:val="648669A1"/>
    <w:rsid w:val="64E752C4"/>
    <w:rsid w:val="65DA0DD4"/>
    <w:rsid w:val="65F729C7"/>
    <w:rsid w:val="66434E23"/>
    <w:rsid w:val="66934D57"/>
    <w:rsid w:val="66A27154"/>
    <w:rsid w:val="66A80E51"/>
    <w:rsid w:val="677551D7"/>
    <w:rsid w:val="678A138D"/>
    <w:rsid w:val="67E1286C"/>
    <w:rsid w:val="67E31F8B"/>
    <w:rsid w:val="683B241F"/>
    <w:rsid w:val="68577F92"/>
    <w:rsid w:val="698D373B"/>
    <w:rsid w:val="69A96191"/>
    <w:rsid w:val="69FD1FFD"/>
    <w:rsid w:val="6A2B5BCA"/>
    <w:rsid w:val="6AA75C6E"/>
    <w:rsid w:val="6AC7223E"/>
    <w:rsid w:val="6BB31049"/>
    <w:rsid w:val="6BBB33D4"/>
    <w:rsid w:val="6BF15785"/>
    <w:rsid w:val="6C1442B0"/>
    <w:rsid w:val="6CC15691"/>
    <w:rsid w:val="6CF430F2"/>
    <w:rsid w:val="6D3C0639"/>
    <w:rsid w:val="6DB96BEC"/>
    <w:rsid w:val="6E3B72E7"/>
    <w:rsid w:val="6E3C6E41"/>
    <w:rsid w:val="6EF81CA0"/>
    <w:rsid w:val="6F321DFD"/>
    <w:rsid w:val="6F433E0D"/>
    <w:rsid w:val="6F575DD1"/>
    <w:rsid w:val="70155795"/>
    <w:rsid w:val="702E6762"/>
    <w:rsid w:val="70314EAA"/>
    <w:rsid w:val="7044602E"/>
    <w:rsid w:val="706B3AE0"/>
    <w:rsid w:val="70A15D8A"/>
    <w:rsid w:val="71270FB3"/>
    <w:rsid w:val="71E07B02"/>
    <w:rsid w:val="71F66174"/>
    <w:rsid w:val="72347A3D"/>
    <w:rsid w:val="72C34258"/>
    <w:rsid w:val="73CE218C"/>
    <w:rsid w:val="74396181"/>
    <w:rsid w:val="74AA472D"/>
    <w:rsid w:val="757F36C5"/>
    <w:rsid w:val="768165E1"/>
    <w:rsid w:val="77987327"/>
    <w:rsid w:val="779C230C"/>
    <w:rsid w:val="77DD1C6A"/>
    <w:rsid w:val="78F5016F"/>
    <w:rsid w:val="793A002E"/>
    <w:rsid w:val="793A6280"/>
    <w:rsid w:val="79901AFC"/>
    <w:rsid w:val="79DA1D09"/>
    <w:rsid w:val="7A182199"/>
    <w:rsid w:val="7A31327F"/>
    <w:rsid w:val="7A50273A"/>
    <w:rsid w:val="7A644061"/>
    <w:rsid w:val="7AE1770B"/>
    <w:rsid w:val="7B114A31"/>
    <w:rsid w:val="7BAD4BF5"/>
    <w:rsid w:val="7BC6204D"/>
    <w:rsid w:val="7CCE7826"/>
    <w:rsid w:val="7D0F483D"/>
    <w:rsid w:val="7E004848"/>
    <w:rsid w:val="7E37366F"/>
    <w:rsid w:val="7ED656B9"/>
    <w:rsid w:val="7F292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2534</Words>
  <Characters>2608</Characters>
  <Lines>0</Lines>
  <Paragraphs>0</Paragraphs>
  <TotalTime>1</TotalTime>
  <ScaleCrop>false</ScaleCrop>
  <LinksUpToDate>false</LinksUpToDate>
  <CharactersWithSpaces>3212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2026-05-09T02:45:57Z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46F5F2024AB74D28900E954F60F7AB4E_13</vt:lpwstr>
  </property>
  <property fmtid="{D5CDD505-2E9C-101B-9397-08002B2CF9AE}" pid="4" name="KSOTemplateDocerSaveRecord">
    <vt:lpwstr>eyJoZGlkIjoiYjY0ZTAzOGFkMDVjYTAyNGRiZmEzMWIyNTAyNzgyNTIiLCJ1c2VySWQiOiI2OTk3Mjg4NzkifQ==</vt:lpwstr>
  </property>
</Properties>
</file>