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会议系统设备</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204F5450">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0BA6F6F8">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0E1F47EF">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52B4DDD8">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9"/>
        <w:gridCol w:w="1920"/>
        <w:gridCol w:w="420"/>
        <w:gridCol w:w="4125"/>
        <w:gridCol w:w="975"/>
        <w:gridCol w:w="1110"/>
        <w:gridCol w:w="1260"/>
        <w:gridCol w:w="690"/>
        <w:gridCol w:w="840"/>
        <w:gridCol w:w="865"/>
        <w:gridCol w:w="1501"/>
      </w:tblGrid>
      <w:tr w14:paraId="62D10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325" w:type="dxa"/>
            <w:gridSpan w:val="11"/>
            <w:tcBorders>
              <w:top w:val="nil"/>
              <w:left w:val="nil"/>
              <w:bottom w:val="nil"/>
              <w:right w:val="nil"/>
            </w:tcBorders>
            <w:shd w:val="clear" w:color="auto" w:fill="auto"/>
            <w:vAlign w:val="center"/>
          </w:tcPr>
          <w:p w14:paraId="4A045A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1790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E08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540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4B0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5156" w:type="dxa"/>
            <w:gridSpan w:val="5"/>
            <w:tcBorders>
              <w:top w:val="single" w:color="000000" w:sz="4" w:space="0"/>
              <w:left w:val="nil"/>
              <w:bottom w:val="single" w:color="000000" w:sz="4" w:space="0"/>
              <w:right w:val="single" w:color="000000" w:sz="4" w:space="0"/>
            </w:tcBorders>
            <w:shd w:val="clear" w:color="auto" w:fill="auto"/>
            <w:noWrap/>
            <w:vAlign w:val="center"/>
          </w:tcPr>
          <w:p w14:paraId="116308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6F216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DED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6BF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C18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5156" w:type="dxa"/>
            <w:gridSpan w:val="5"/>
            <w:tcBorders>
              <w:top w:val="single" w:color="000000" w:sz="4" w:space="0"/>
              <w:left w:val="nil"/>
              <w:bottom w:val="single" w:color="000000" w:sz="4" w:space="0"/>
              <w:right w:val="single" w:color="000000" w:sz="4" w:space="0"/>
            </w:tcBorders>
            <w:shd w:val="clear" w:color="auto" w:fill="auto"/>
            <w:noWrap/>
            <w:vAlign w:val="center"/>
          </w:tcPr>
          <w:p w14:paraId="45F23E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88F5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3E1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3CB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328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156" w:type="dxa"/>
            <w:gridSpan w:val="5"/>
            <w:tcBorders>
              <w:top w:val="single" w:color="000000" w:sz="4" w:space="0"/>
              <w:left w:val="nil"/>
              <w:bottom w:val="single" w:color="000000" w:sz="4" w:space="0"/>
              <w:right w:val="single" w:color="000000" w:sz="4" w:space="0"/>
            </w:tcBorders>
            <w:shd w:val="clear" w:color="auto" w:fill="auto"/>
            <w:noWrap/>
            <w:vAlign w:val="center"/>
          </w:tcPr>
          <w:p w14:paraId="4BA97E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6527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758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77A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F33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156" w:type="dxa"/>
            <w:gridSpan w:val="5"/>
            <w:tcBorders>
              <w:top w:val="single" w:color="000000" w:sz="4" w:space="0"/>
              <w:left w:val="nil"/>
              <w:bottom w:val="single" w:color="000000" w:sz="4" w:space="0"/>
              <w:right w:val="single" w:color="000000" w:sz="4" w:space="0"/>
            </w:tcBorders>
            <w:shd w:val="clear" w:color="auto" w:fill="auto"/>
            <w:noWrap/>
            <w:vAlign w:val="center"/>
          </w:tcPr>
          <w:p w14:paraId="183B7A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C33B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449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76C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678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5156" w:type="dxa"/>
            <w:gridSpan w:val="5"/>
            <w:tcBorders>
              <w:top w:val="single" w:color="000000" w:sz="4" w:space="0"/>
              <w:left w:val="nil"/>
              <w:bottom w:val="single" w:color="000000" w:sz="4" w:space="0"/>
              <w:right w:val="single" w:color="000000" w:sz="4" w:space="0"/>
            </w:tcBorders>
            <w:shd w:val="clear" w:color="auto" w:fill="auto"/>
            <w:noWrap/>
            <w:vAlign w:val="center"/>
          </w:tcPr>
          <w:p w14:paraId="467F61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2211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F01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37E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5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906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4C6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A23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950" w:type="dxa"/>
            <w:gridSpan w:val="2"/>
            <w:vMerge w:val="restart"/>
            <w:tcBorders>
              <w:top w:val="single" w:color="000000" w:sz="4" w:space="0"/>
              <w:left w:val="single" w:color="000000" w:sz="4" w:space="0"/>
              <w:right w:val="single" w:color="000000" w:sz="4" w:space="0"/>
            </w:tcBorders>
            <w:shd w:val="clear" w:color="auto" w:fill="auto"/>
            <w:vAlign w:val="center"/>
          </w:tcPr>
          <w:p w14:paraId="1B8912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品牌</w:t>
            </w:r>
            <w:r>
              <w:rPr>
                <w:rFonts w:hint="eastAsia" w:ascii="宋体" w:hAnsi="宋体" w:cs="宋体"/>
                <w:i w:val="0"/>
                <w:iCs w:val="0"/>
                <w:color w:val="000000"/>
                <w:kern w:val="0"/>
                <w:sz w:val="24"/>
                <w:szCs w:val="24"/>
                <w:u w:val="none"/>
                <w:lang w:val="en-US" w:eastAsia="zh-CN" w:bidi="ar"/>
              </w:rPr>
              <w:t>型号</w:t>
            </w:r>
          </w:p>
        </w:tc>
        <w:tc>
          <w:tcPr>
            <w:tcW w:w="1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8B8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BD4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55FA7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19D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2D4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5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3BD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D90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A0B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950" w:type="dxa"/>
            <w:gridSpan w:val="2"/>
            <w:vMerge w:val="continue"/>
            <w:tcBorders>
              <w:left w:val="single" w:color="000000" w:sz="4" w:space="0"/>
              <w:bottom w:val="single" w:color="000000" w:sz="4" w:space="0"/>
              <w:right w:val="single" w:color="000000" w:sz="4" w:space="0"/>
            </w:tcBorders>
            <w:shd w:val="clear" w:color="auto" w:fill="auto"/>
            <w:vAlign w:val="center"/>
          </w:tcPr>
          <w:p w14:paraId="685304D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98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3D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9FC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A97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DD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734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5G会议中心</w:t>
            </w:r>
          </w:p>
        </w:tc>
        <w:tc>
          <w:tcPr>
            <w:tcW w:w="4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024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5G会议中心：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★1.全数字网络与音频技术，数字环状网络传输技术与音频时钟同步，端到端音频延迟≤5毫秒，支持48K采样率的无压缩音频实时传输。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★2.具备智能干扰规避机制，基于IEEE 802.11n（WiFi6）标准，兼容2.4GHz与5GHz双频段，提供24个可调信道。支持自动/手动信道优化，内置AP信道扫描功能可实时监测周边无线AP设备名称及无线信道占用状态，动态选择最优信道以增强抗干扰能力。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3.最大可接入≥5300台有线会议单元和≥300台无线会议单元，支持会议现场扩展24台会议单元同时开启。发言权限方面，最多允许系统扩展16台有线会议单元与8台无线会议单元同步发言。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4.标准化2U机架式，采用六类网络线缆实现64通道音频信号与控制信息的同步传输，同时全面兼容有线与无线双模式会议部署。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★5.配备4.3英寸电容触控显示屏，支持参数配置、实时监控及数据交互的全触控操作。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6.支持通过USB接口外接U盘进行会议录音，搭载智能环境降噪算法，有效过滤背景噪音并提升录音清晰度。面板配备物理按键一键启停录音功能，同时设有状态指示灯实时反馈录音工作状态。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7.主机内置耳机监听接口，兼容40mW标准功率耳机直接连接使用，支持用户实时监听会议音频。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8.面板配备实体按键，支持一键切断所有无线会议单元的连接，终止会议无线信号传输，适用于紧急安全管控场景。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★9.面板配置录音、电源、AP等LED状态指示灯，实时反馈核心运行状态。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10.内置中、英、俄、法四种语言切换配置。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11.支持多种灵活的会议管理模式：先进先出、正常模式、声控模式、申请模式，可选配定制：智能限制、开放模式、主席专用等会议管理模式。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12.兼容有线会议单元与无线会议单元接入，发言数量支持8个有线会议单元和6个无线会议单元，满足不同规模会议需求。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13.内置高性能DSP处理器，支持10段均衡EQ输出，支持16路音频矩阵、延时器、音量等调节功能，并且16路音频矩阵每一路都支持10段均衡EQ、延时器、音量等参数调节。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14.支持16通道角色分离输出模式，有线或无线单元可以独立输出声音，同时支持语音转写设备对接实现角色分离，支持通过录音软件对系统中的任一单元进行独立录音。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15.支持16通道同传输出模式，可把译员机的声音独输出外部设备，可供录音或监听设备使用。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16.支持16通道相控输出模式，内置nx16音频矩阵处理器，实现16通道分组输出功能，按任意音量比例输出到任意通道。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17.支持同声传译功能，最大可同时传输63+1的有线同声传译。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18.系统基于TCP/IP网络协议构建，支持C/S架构与B/S架构，用户可通过专用控制软件或标准网页浏览器实现远程设备管理。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19.可通过软件控制音频矩阵参数（EQ、音量、话筒灵敏度等）、16通道输出模式切换、同步开关话筒、控制角色分离主机。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20.通过PC软件可查看扫描无线会议单元的电池电量、WiFi信号等信息状态，支持一键关闭所有无线会议单元。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★21.支持PC软件发起签到、投票表决（选举、评级、满意度、自定义选项等模式），并通过PC管理软件实现可视化数据统计结果分析，提升会议决策效率。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22.支持PC软件下发32个字符人名到会议单元显示屏显示。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23.脱离电脑使用时，会议系统也能够实现发起签到与投票表决功能。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★24.内置4路6芯航空口，可接入数字有线会议单元，支持热插拔功能。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★25.支持选配扩展环形手拉手连接器，环形手拉手连接中间任何一路有线会议单元出现故障，其他会议单元不受影响使用，保障会议的正常运行。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★26.支持定制对接语音转写服务，实现语音转写功能。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27.支持选配定制内置AFC啸叫抑制功能。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28.支持选配扩展主从机备份功能，当主机出现故障时，可自动切换至从机运行，实现双备份功能。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29.支持选配扩展5G会议中心处理器使用，通过网线和232连接，可实现16个有线会议单元和8个无线会议单元同时开启发言，并具备自动混音、自动增益、反馈抑制等音频调节处理功能。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30.支持选配数字会议系统管理APP软件，通过手机APP管理系统功能状态。可控制会议单元开关、签到、投票表决、接收会议服务信息、一键关闭无线话筒等功能。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31.主机具有注册功能。可提供系统API接口，可通过对接运维管理平台软件读取设备相关数据与配置信息，可接收并执行运维管理平台软件下发的控制数据，方便用户对设备进行集中管理。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32.音频输入接口：1组RCA座、2路凤凰插座，可接入背景音乐、远程视频会议声音等外部音频。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33.音频输出接口：1路卡侬座、1组RCA座、16路平衡凤凰端子、1路同轴、1路光纤接口。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★34.内置1路ALARM消防报警联动触发接口，支持主机、有线和无线话筒弹出报警界面，提供火灾报警信息，第一时间提醒会场人员紧急撤离，确保与会人员安全。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35.内置1路RS-232和1路RS-485摄像机控制接口，支持PELCO-P、PELCO-D、VISCA摄像机控制协议，可控制10台高清摄像跟踪设置，实现自动摄像跟踪功能。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36.支持四进四出HDMI无缝视频跟踪切换，4台摄像机接入。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37.频率响应：80-16KHz；.信噪比：&gt;80dB(A)；动态范围：&gt;80dB；总谐波失真：&lt;0.05%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38.EXTENSION接口：连接会议系统扩展设备。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3CB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D9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3100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FionTu（方图）I Mic Center/5G HD</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9A5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8A5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501" w:type="dxa"/>
            <w:tcBorders>
              <w:top w:val="nil"/>
              <w:left w:val="single" w:color="000000" w:sz="4" w:space="0"/>
              <w:bottom w:val="single" w:color="000000" w:sz="4" w:space="0"/>
              <w:right w:val="single" w:color="000000" w:sz="4" w:space="0"/>
            </w:tcBorders>
            <w:shd w:val="clear" w:color="auto" w:fill="auto"/>
            <w:vAlign w:val="center"/>
          </w:tcPr>
          <w:p w14:paraId="389799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p>
        </w:tc>
      </w:tr>
      <w:tr w14:paraId="07F11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62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846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5G无线会议单元</w:t>
            </w:r>
          </w:p>
        </w:tc>
        <w:tc>
          <w:tcPr>
            <w:tcW w:w="4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BAA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5G无线会议单元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1.输出频率响应：50Hz-18KHz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2.信噪比：&gt;80dB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3.动态范围：&gt;110dB（1KHz）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4.总谐波失真：&lt;0.05%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★5.屏幕：4.3寸TFT液晶显示电容触摸屏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6.屏幕分辨率：320*480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★7.电池容量：5000mAh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8.无线频率范围：5.15GHz~5.85GHz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★9.最大功耗：1.5W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★10.充电方式：通过TYPE-C接口支持18W快充充电和触点式充电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11.外壳材质：锌/铝合金+ABS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12.颜色：羌色/银色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13.尺寸（长*宽*高mm）：咪杆200*34.5*23；底座128*98*58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14.拾音咪头：14mm直径镀金电容咪头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15.指向特性：超心型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★16.灵敏度：-28dB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17.输出阻抗：2.2KΩ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18.最大声压级：130dB（THD&lt;3%）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★19.配合PC数字会议系统管理软件实现签到、投票表决、选举、评级、自定义选项等功能。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20.支持自定义主席机配置功能，可根据现场需要，临时定义任意单元为主席单元。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★21.采用128位AES加密技术，支持WPA/WPA2无线安全技术，防止窃听和非授权访问，提供更高的会议系统机密性。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22.可通过PC软件进行声控控制，灵敏度、5段EQ调节，计时发言和定时发言功能。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★23.智能检测故障功能，提示AP连接情况。</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FDF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ED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2D8F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FionTu（方图）G05 GU</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E5D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7CF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501" w:type="dxa"/>
            <w:tcBorders>
              <w:top w:val="nil"/>
              <w:left w:val="single" w:color="000000" w:sz="4" w:space="0"/>
              <w:bottom w:val="single" w:color="000000" w:sz="4" w:space="0"/>
              <w:right w:val="single" w:color="000000" w:sz="4" w:space="0"/>
            </w:tcBorders>
            <w:shd w:val="clear" w:color="auto" w:fill="auto"/>
            <w:vAlign w:val="center"/>
          </w:tcPr>
          <w:p w14:paraId="6DA93A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p>
        </w:tc>
      </w:tr>
      <w:tr w14:paraId="73B36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A6B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97F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天线</w:t>
            </w:r>
          </w:p>
        </w:tc>
        <w:tc>
          <w:tcPr>
            <w:tcW w:w="4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330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★1.设备接口：2×10/100/1000M自适应以太网接口，RJ45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2.设备按键：1×Reset键（按键型）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3.指示灯：RUN指示灯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★4.系统配置：CPU主频775MHz，内存128MB，FLASH16MB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★5.无线模块：802.11b/g/n MIMO 2*2（300Mbps）；802.11ac MIMO 2*2（866Mbps）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6.工作频段：2.412~2.472GHz；5.15~5.85GHz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7.无线发射功率：27dBm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8.尺寸：190mm ×190mm×50mm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9.重量：0.45Kg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10.内置2.4GHz天线：3dBi</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11.内置5GHz天线：3dBi</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12.供电：POE（IEEE 802.3at）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13.工作温度：-10℃～50℃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14.工作湿度：10%～90%（非凝结）</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672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89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1F0A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FionTu（方图）FT-A05G</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21F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A53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501" w:type="dxa"/>
            <w:tcBorders>
              <w:top w:val="nil"/>
              <w:left w:val="single" w:color="000000" w:sz="4" w:space="0"/>
              <w:bottom w:val="single" w:color="000000" w:sz="4" w:space="0"/>
              <w:right w:val="single" w:color="000000" w:sz="4" w:space="0"/>
            </w:tcBorders>
            <w:shd w:val="clear" w:color="auto" w:fill="auto"/>
            <w:vAlign w:val="center"/>
          </w:tcPr>
          <w:p w14:paraId="16C646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p>
        </w:tc>
      </w:tr>
      <w:tr w14:paraId="2C184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11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B9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POE供电器</w:t>
            </w:r>
          </w:p>
        </w:tc>
        <w:tc>
          <w:tcPr>
            <w:tcW w:w="4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C5B0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POE供电器：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1.千兆POE供电器提供220V转POE供电为AP天线提供POE供电。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2.支持IEEE802.3af/at以太网POE供电标准。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3.外观尺寸：165*55*40mm。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4.产品重量：0.28Kg。</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42E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2B8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797A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FionTu（方图）FT-A05POE</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AF2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05D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501" w:type="dxa"/>
            <w:tcBorders>
              <w:top w:val="nil"/>
              <w:left w:val="single" w:color="000000" w:sz="4" w:space="0"/>
              <w:bottom w:val="single" w:color="000000" w:sz="4" w:space="0"/>
              <w:right w:val="single" w:color="000000" w:sz="4" w:space="0"/>
            </w:tcBorders>
            <w:shd w:val="clear" w:color="auto" w:fill="auto"/>
            <w:vAlign w:val="center"/>
          </w:tcPr>
          <w:p w14:paraId="4CF7F5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p>
        </w:tc>
      </w:tr>
      <w:tr w14:paraId="70380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B2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w:t>
            </w:r>
          </w:p>
        </w:tc>
        <w:tc>
          <w:tcPr>
            <w:tcW w:w="105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6C91AC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FFE5">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7C9C">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4"/>
                <w:szCs w:val="24"/>
                <w:u w:val="none"/>
              </w:rPr>
            </w:pPr>
          </w:p>
        </w:tc>
        <w:tc>
          <w:tcPr>
            <w:tcW w:w="1501" w:type="dxa"/>
            <w:tcBorders>
              <w:top w:val="nil"/>
              <w:left w:val="single" w:color="000000" w:sz="4" w:space="0"/>
              <w:bottom w:val="single" w:color="000000" w:sz="4" w:space="0"/>
              <w:right w:val="single" w:color="000000" w:sz="4" w:space="0"/>
            </w:tcBorders>
            <w:shd w:val="clear" w:color="auto" w:fill="auto"/>
            <w:vAlign w:val="center"/>
          </w:tcPr>
          <w:p w14:paraId="0360CCD1">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4"/>
                <w:szCs w:val="24"/>
                <w:u w:val="none"/>
              </w:rPr>
            </w:pPr>
          </w:p>
        </w:tc>
      </w:tr>
      <w:tr w14:paraId="16AF3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3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0C1B8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w:t>
            </w:r>
            <w:r>
              <w:rPr>
                <w:rFonts w:hint="eastAsia" w:ascii="宋体" w:hAnsi="宋体" w:cs="宋体"/>
                <w:i w:val="0"/>
                <w:iCs w:val="0"/>
                <w:color w:val="FF0000"/>
                <w:kern w:val="0"/>
                <w:sz w:val="24"/>
                <w:szCs w:val="24"/>
                <w:u w:val="none"/>
                <w:lang w:val="en-US" w:eastAsia="zh-CN" w:bidi="ar"/>
              </w:rPr>
              <w:t>安装</w:t>
            </w:r>
            <w:r>
              <w:rPr>
                <w:rFonts w:hint="eastAsia" w:ascii="宋体" w:hAnsi="宋体" w:eastAsia="宋体" w:cs="宋体"/>
                <w:i w:val="0"/>
                <w:iCs w:val="0"/>
                <w:color w:val="FF0000"/>
                <w:kern w:val="0"/>
                <w:sz w:val="24"/>
                <w:szCs w:val="24"/>
                <w:u w:val="none"/>
                <w:lang w:val="en-US" w:eastAsia="zh-CN" w:bidi="ar"/>
              </w:rPr>
              <w:t>调试相关服务费用。</w:t>
            </w:r>
          </w:p>
        </w:tc>
      </w:tr>
      <w:tr w14:paraId="4CCD3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9" w:hRule="atLeast"/>
        </w:trPr>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9D21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1B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黑体" w:hAnsi="宋体" w:eastAsia="黑体" w:cs="黑体"/>
                <w:i w:val="0"/>
                <w:iCs w:val="0"/>
                <w:color w:val="FF0000"/>
                <w:kern w:val="2"/>
                <w:sz w:val="24"/>
                <w:szCs w:val="24"/>
                <w:u w:val="none"/>
                <w:lang w:val="en-US" w:eastAsia="zh-CN" w:bidi="ar-SA"/>
              </w:rPr>
            </w:pPr>
            <w:r>
              <w:rPr>
                <w:rFonts w:hint="eastAsia" w:ascii="宋体" w:hAnsi="宋体" w:eastAsia="宋体" w:cs="宋体"/>
                <w:i w:val="0"/>
                <w:iCs w:val="0"/>
                <w:color w:val="FF0000"/>
                <w:kern w:val="0"/>
                <w:sz w:val="24"/>
                <w:szCs w:val="24"/>
                <w:u w:val="none"/>
                <w:lang w:val="en-US" w:eastAsia="zh-CN" w:bidi="ar"/>
              </w:rPr>
              <w:t>填“是/否”</w:t>
            </w: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A721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是否接受履约保证金（成交额的10%）</w:t>
            </w:r>
          </w:p>
        </w:tc>
        <w:tc>
          <w:tcPr>
            <w:tcW w:w="3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C9B6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FF0000"/>
                <w:kern w:val="2"/>
                <w:sz w:val="24"/>
                <w:szCs w:val="24"/>
                <w:u w:val="none"/>
                <w:lang w:val="en-US" w:eastAsia="zh-CN" w:bidi="ar-SA"/>
              </w:rPr>
            </w:pPr>
            <w:r>
              <w:rPr>
                <w:rFonts w:hint="eastAsia" w:ascii="宋体" w:hAnsi="宋体" w:eastAsia="宋体" w:cs="宋体"/>
                <w:i w:val="0"/>
                <w:iCs w:val="0"/>
                <w:color w:val="FF0000"/>
                <w:kern w:val="0"/>
                <w:sz w:val="24"/>
                <w:szCs w:val="24"/>
                <w:u w:val="none"/>
                <w:lang w:val="en-US" w:eastAsia="zh-CN" w:bidi="ar"/>
              </w:rPr>
              <w:t>填“是/否”</w:t>
            </w:r>
          </w:p>
        </w:tc>
      </w:tr>
      <w:tr w14:paraId="22973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0" w:hRule="atLeast"/>
        </w:trPr>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7BE8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25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FF0000"/>
                <w:sz w:val="24"/>
                <w:szCs w:val="24"/>
                <w:u w:val="none"/>
                <w:lang w:val="en-US" w:eastAsia="zh-CN"/>
              </w:rPr>
            </w:pPr>
            <w:r>
              <w:rPr>
                <w:rFonts w:hint="eastAsia" w:ascii="宋体" w:hAnsi="宋体" w:cs="宋体"/>
                <w:i w:val="0"/>
                <w:iCs w:val="0"/>
                <w:color w:val="FF0000"/>
                <w:sz w:val="24"/>
                <w:szCs w:val="24"/>
                <w:u w:val="none"/>
                <w:lang w:val="en-US" w:eastAsia="zh-CN"/>
              </w:rPr>
              <w:t>3年</w:t>
            </w: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6CA4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3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EF6D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FF0000"/>
                <w:sz w:val="24"/>
                <w:szCs w:val="24"/>
                <w:u w:val="none"/>
                <w:lang w:val="en-US" w:eastAsia="zh-CN"/>
              </w:rPr>
              <w:t>13%</w:t>
            </w:r>
            <w:bookmarkStart w:id="0" w:name="_GoBack"/>
            <w:bookmarkEnd w:id="0"/>
          </w:p>
        </w:tc>
      </w:tr>
      <w:tr w14:paraId="3C4C8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5" w:hRule="atLeast"/>
        </w:trPr>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A4F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B4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15</w:t>
            </w:r>
            <w:r>
              <w:rPr>
                <w:rFonts w:hint="eastAsia" w:ascii="宋体" w:hAnsi="宋体" w:eastAsia="宋体" w:cs="宋体"/>
                <w:i w:val="0"/>
                <w:iCs w:val="0"/>
                <w:color w:val="FF0000"/>
                <w:kern w:val="0"/>
                <w:sz w:val="24"/>
                <w:szCs w:val="24"/>
                <w:u w:val="none"/>
                <w:lang w:val="en-US" w:eastAsia="zh-CN" w:bidi="ar"/>
              </w:rPr>
              <w:t>天</w:t>
            </w: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5343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3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26DA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w:t>
            </w:r>
            <w:r>
              <w:rPr>
                <w:rFonts w:hint="eastAsia" w:ascii="宋体" w:hAnsi="宋体" w:cs="宋体"/>
                <w:i w:val="0"/>
                <w:iCs w:val="0"/>
                <w:color w:val="FF0000"/>
                <w:kern w:val="0"/>
                <w:sz w:val="24"/>
                <w:szCs w:val="24"/>
                <w:u w:val="none"/>
                <w:lang w:val="en-US" w:eastAsia="zh-CN" w:bidi="ar"/>
              </w:rPr>
              <w:t>7</w:t>
            </w:r>
            <w:r>
              <w:rPr>
                <w:rFonts w:hint="eastAsia" w:ascii="宋体" w:hAnsi="宋体" w:eastAsia="宋体" w:cs="宋体"/>
                <w:i w:val="0"/>
                <w:iCs w:val="0"/>
                <w:color w:val="FF0000"/>
                <w:kern w:val="0"/>
                <w:sz w:val="24"/>
                <w:szCs w:val="24"/>
                <w:u w:val="none"/>
                <w:lang w:val="en-US" w:eastAsia="zh-CN" w:bidi="ar"/>
              </w:rPr>
              <w:t>0%预付款，货到验收合格后</w:t>
            </w:r>
            <w:r>
              <w:rPr>
                <w:rFonts w:hint="eastAsia" w:ascii="宋体" w:hAnsi="宋体" w:cs="宋体"/>
                <w:i w:val="0"/>
                <w:iCs w:val="0"/>
                <w:color w:val="FF0000"/>
                <w:kern w:val="0"/>
                <w:sz w:val="24"/>
                <w:szCs w:val="24"/>
                <w:u w:val="none"/>
                <w:lang w:val="en-US" w:eastAsia="zh-CN" w:bidi="ar"/>
              </w:rPr>
              <w:t>1</w:t>
            </w:r>
            <w:r>
              <w:rPr>
                <w:rFonts w:hint="eastAsia" w:ascii="宋体" w:hAnsi="宋体" w:eastAsia="宋体" w:cs="宋体"/>
                <w:i w:val="0"/>
                <w:iCs w:val="0"/>
                <w:color w:val="FF0000"/>
                <w:kern w:val="0"/>
                <w:sz w:val="24"/>
                <w:szCs w:val="24"/>
                <w:u w:val="none"/>
                <w:lang w:val="en-US" w:eastAsia="zh-CN" w:bidi="ar"/>
              </w:rPr>
              <w:t>个月内付清其余的货款</w:t>
            </w:r>
          </w:p>
        </w:tc>
      </w:tr>
    </w:tbl>
    <w:p w14:paraId="76C768AE">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备注：以上总金额包含与产品采购相关的全部价款。（包括但不限于海关、税票、运输、卸货、保险费用等），要求乙方提供增值税专用发票及财务需要的相关资料, 其发票内容与合同清单的一致。</w:t>
      </w:r>
      <w:r>
        <w:rPr>
          <w:rFonts w:hint="eastAsia" w:ascii="仿宋" w:hAnsi="仿宋" w:eastAsia="仿宋" w:cs="仿宋"/>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w:t>
      </w:r>
      <w:r>
        <w:rPr>
          <w:rFonts w:hint="eastAsia" w:ascii="仿宋" w:hAnsi="仿宋" w:eastAsia="仿宋" w:cs="仿宋"/>
          <w:color w:val="auto"/>
          <w:sz w:val="24"/>
          <w:szCs w:val="24"/>
          <w:lang w:val="en-US" w:eastAsia="zh-CN"/>
        </w:rPr>
        <w:t xml:space="preserve">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1、付款条件:合同签订后个7日内支付70%预付款，货到验收合格后1个月内付清其余的货款。注：付款时供应商须提供正规发票（因发票问题而导致无法正常付款的，责任由供应商自己承担）。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5F61781"/>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941E2C"/>
    <w:rsid w:val="10EA119E"/>
    <w:rsid w:val="1106690F"/>
    <w:rsid w:val="115C3F6A"/>
    <w:rsid w:val="11F315DF"/>
    <w:rsid w:val="133B07D3"/>
    <w:rsid w:val="138B678C"/>
    <w:rsid w:val="13A43BC7"/>
    <w:rsid w:val="144B0B25"/>
    <w:rsid w:val="14F94AB5"/>
    <w:rsid w:val="1516314A"/>
    <w:rsid w:val="157C124F"/>
    <w:rsid w:val="15A123AF"/>
    <w:rsid w:val="15B405D8"/>
    <w:rsid w:val="16B37629"/>
    <w:rsid w:val="173B2189"/>
    <w:rsid w:val="175B58E8"/>
    <w:rsid w:val="17CE6EF3"/>
    <w:rsid w:val="185D2018"/>
    <w:rsid w:val="1870435E"/>
    <w:rsid w:val="18B65219"/>
    <w:rsid w:val="193251CA"/>
    <w:rsid w:val="1959078F"/>
    <w:rsid w:val="19850B90"/>
    <w:rsid w:val="1A48720E"/>
    <w:rsid w:val="1B5D283A"/>
    <w:rsid w:val="1B811C42"/>
    <w:rsid w:val="1B96686D"/>
    <w:rsid w:val="1BB00C3B"/>
    <w:rsid w:val="1C1414B5"/>
    <w:rsid w:val="1C44694B"/>
    <w:rsid w:val="1CB642A6"/>
    <w:rsid w:val="1CBE542C"/>
    <w:rsid w:val="1CCD669D"/>
    <w:rsid w:val="1D7B2840"/>
    <w:rsid w:val="1E434544"/>
    <w:rsid w:val="1F444EB4"/>
    <w:rsid w:val="1F741D8C"/>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B6A410E"/>
    <w:rsid w:val="2B9E5DD1"/>
    <w:rsid w:val="2C761843"/>
    <w:rsid w:val="2D4E2C33"/>
    <w:rsid w:val="2DC647A7"/>
    <w:rsid w:val="2E1B2848"/>
    <w:rsid w:val="2E1C17E4"/>
    <w:rsid w:val="2E342253"/>
    <w:rsid w:val="2E494294"/>
    <w:rsid w:val="2F727CE6"/>
    <w:rsid w:val="2FA05CF7"/>
    <w:rsid w:val="300D6BCC"/>
    <w:rsid w:val="30A001AC"/>
    <w:rsid w:val="31140310"/>
    <w:rsid w:val="318F1FBE"/>
    <w:rsid w:val="337A506E"/>
    <w:rsid w:val="339B7C29"/>
    <w:rsid w:val="33E73B71"/>
    <w:rsid w:val="345319C9"/>
    <w:rsid w:val="35F40F8A"/>
    <w:rsid w:val="37A7439E"/>
    <w:rsid w:val="37CA2BC5"/>
    <w:rsid w:val="37F03342"/>
    <w:rsid w:val="38544E55"/>
    <w:rsid w:val="39064FC8"/>
    <w:rsid w:val="39963E4D"/>
    <w:rsid w:val="3A2C48CD"/>
    <w:rsid w:val="3B0F7CBC"/>
    <w:rsid w:val="3B275F4B"/>
    <w:rsid w:val="3D2363DE"/>
    <w:rsid w:val="3DA64A40"/>
    <w:rsid w:val="3E015FF2"/>
    <w:rsid w:val="3E4F32EC"/>
    <w:rsid w:val="3E5157CB"/>
    <w:rsid w:val="3E6D1EE0"/>
    <w:rsid w:val="40130CAF"/>
    <w:rsid w:val="40490B34"/>
    <w:rsid w:val="420E65EA"/>
    <w:rsid w:val="421050D4"/>
    <w:rsid w:val="42A9416B"/>
    <w:rsid w:val="42BF1B92"/>
    <w:rsid w:val="435E2995"/>
    <w:rsid w:val="43966372"/>
    <w:rsid w:val="44EF43A5"/>
    <w:rsid w:val="46AE2EAA"/>
    <w:rsid w:val="477060B2"/>
    <w:rsid w:val="47D32116"/>
    <w:rsid w:val="48116822"/>
    <w:rsid w:val="48832749"/>
    <w:rsid w:val="493C6A78"/>
    <w:rsid w:val="49AB2DE5"/>
    <w:rsid w:val="4A0D21C2"/>
    <w:rsid w:val="4A0E06F8"/>
    <w:rsid w:val="4B1A7BD1"/>
    <w:rsid w:val="4BB038DA"/>
    <w:rsid w:val="4C73767A"/>
    <w:rsid w:val="4D030046"/>
    <w:rsid w:val="4D871781"/>
    <w:rsid w:val="4E802F1D"/>
    <w:rsid w:val="4EF042FA"/>
    <w:rsid w:val="4FAF448B"/>
    <w:rsid w:val="50417986"/>
    <w:rsid w:val="50F73FA0"/>
    <w:rsid w:val="515E18DF"/>
    <w:rsid w:val="51765D9A"/>
    <w:rsid w:val="517D0941"/>
    <w:rsid w:val="51B2458A"/>
    <w:rsid w:val="521C7398"/>
    <w:rsid w:val="52446C35"/>
    <w:rsid w:val="527E16D3"/>
    <w:rsid w:val="528B2778"/>
    <w:rsid w:val="52C14E18"/>
    <w:rsid w:val="5316709E"/>
    <w:rsid w:val="534B7B17"/>
    <w:rsid w:val="54B57C0A"/>
    <w:rsid w:val="55FF6B96"/>
    <w:rsid w:val="56E07198"/>
    <w:rsid w:val="57221F02"/>
    <w:rsid w:val="57960F83"/>
    <w:rsid w:val="57DB3B40"/>
    <w:rsid w:val="58733762"/>
    <w:rsid w:val="58A15BF6"/>
    <w:rsid w:val="58DA37D1"/>
    <w:rsid w:val="590772D6"/>
    <w:rsid w:val="597E69B0"/>
    <w:rsid w:val="59D75C73"/>
    <w:rsid w:val="5AA4447D"/>
    <w:rsid w:val="5BBF6D32"/>
    <w:rsid w:val="5C02364F"/>
    <w:rsid w:val="5C4A6C71"/>
    <w:rsid w:val="5CA61E20"/>
    <w:rsid w:val="5D446D60"/>
    <w:rsid w:val="5D9E05A7"/>
    <w:rsid w:val="5DF96E76"/>
    <w:rsid w:val="5DFE3DF5"/>
    <w:rsid w:val="5E0F059C"/>
    <w:rsid w:val="5E385608"/>
    <w:rsid w:val="5EB9237C"/>
    <w:rsid w:val="5F0458F0"/>
    <w:rsid w:val="5FE226DD"/>
    <w:rsid w:val="60C33852"/>
    <w:rsid w:val="61547E11"/>
    <w:rsid w:val="61852A60"/>
    <w:rsid w:val="62567581"/>
    <w:rsid w:val="62B80EDF"/>
    <w:rsid w:val="631F4682"/>
    <w:rsid w:val="63D4721D"/>
    <w:rsid w:val="640673E3"/>
    <w:rsid w:val="640F17B5"/>
    <w:rsid w:val="64467711"/>
    <w:rsid w:val="64E752C4"/>
    <w:rsid w:val="65DA0DD4"/>
    <w:rsid w:val="65F729C7"/>
    <w:rsid w:val="66934D57"/>
    <w:rsid w:val="66A27154"/>
    <w:rsid w:val="66A80E51"/>
    <w:rsid w:val="677551D7"/>
    <w:rsid w:val="68577F92"/>
    <w:rsid w:val="698D373B"/>
    <w:rsid w:val="69FD1FFD"/>
    <w:rsid w:val="6A2B5BCA"/>
    <w:rsid w:val="6AA75C6E"/>
    <w:rsid w:val="6BB31049"/>
    <w:rsid w:val="6BF15785"/>
    <w:rsid w:val="6C1442B0"/>
    <w:rsid w:val="6CF430F2"/>
    <w:rsid w:val="6D3C0639"/>
    <w:rsid w:val="6DB96BEC"/>
    <w:rsid w:val="6F321DFD"/>
    <w:rsid w:val="6F575DD1"/>
    <w:rsid w:val="70155795"/>
    <w:rsid w:val="702E6762"/>
    <w:rsid w:val="70314EAA"/>
    <w:rsid w:val="7044602E"/>
    <w:rsid w:val="706674D3"/>
    <w:rsid w:val="706B3AE0"/>
    <w:rsid w:val="70A15D8A"/>
    <w:rsid w:val="71270FB3"/>
    <w:rsid w:val="71E07B02"/>
    <w:rsid w:val="71F66174"/>
    <w:rsid w:val="72C34258"/>
    <w:rsid w:val="72E15E16"/>
    <w:rsid w:val="73CE218C"/>
    <w:rsid w:val="74AA472D"/>
    <w:rsid w:val="768165E1"/>
    <w:rsid w:val="79DA1D09"/>
    <w:rsid w:val="7A182199"/>
    <w:rsid w:val="7A31327F"/>
    <w:rsid w:val="7A644061"/>
    <w:rsid w:val="7AE1770B"/>
    <w:rsid w:val="7B114A31"/>
    <w:rsid w:val="7C5533D1"/>
    <w:rsid w:val="7C943EFA"/>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6522</Words>
  <Characters>7254</Characters>
  <Lines>0</Lines>
  <Paragraphs>0</Paragraphs>
  <TotalTime>2</TotalTime>
  <ScaleCrop>false</ScaleCrop>
  <LinksUpToDate>false</LinksUpToDate>
  <CharactersWithSpaces>7946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2026-04-23T02:52:25Z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C9C9FA0319AE435286075335A141B901_13</vt:lpwstr>
  </property>
  <property fmtid="{D5CDD505-2E9C-101B-9397-08002B2CF9AE}" pid="4" name="KSOTemplateDocerSaveRecord">
    <vt:lpwstr>eyJoZGlkIjoiYjY0ZTAzOGFkMDVjYTAyNGRiZmEzMWIyNTAyNzgyNTIiLCJ1c2VySWQiOiI2OTk3Mjg4NzkifQ==</vt:lpwstr>
  </property>
</Properties>
</file>