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背景音乐</w:t>
      </w:r>
      <w:r>
        <w:rPr>
          <w:rFonts w:hint="eastAsia" w:ascii="宋体" w:hAnsi="宋体" w:eastAsia="宋体" w:cs="宋体"/>
          <w:b/>
          <w:i w:val="0"/>
          <w:iCs w:val="0"/>
          <w:color w:val="000000"/>
          <w:kern w:val="0"/>
          <w:sz w:val="48"/>
          <w:szCs w:val="48"/>
          <w:u w:val="none"/>
          <w:lang w:val="en-US" w:eastAsia="zh-CN" w:bidi="ar"/>
        </w:rPr>
        <w:t>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D587BE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0056CD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0F86524">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12B454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725"/>
        <w:gridCol w:w="4390"/>
        <w:gridCol w:w="964"/>
        <w:gridCol w:w="990"/>
        <w:gridCol w:w="1981"/>
        <w:gridCol w:w="990"/>
        <w:gridCol w:w="985"/>
        <w:gridCol w:w="1500"/>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456"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456"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56"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56"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456"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控制主机</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1.采用工控机机箱设计，具有LED液晶显示屏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2.支持≥1路短路触发开机接口，用于实现定时驱动开机运行。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3.具有≥8×USB接口、≥6×串口接口、≥2×千兆网口。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4.配置等同或优于4核 4线程 3.2GHz处理器。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5.设备支持≥1路VGA、≥1路HDMI输出接口。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6.支持操作系统配置通电自动开机、定时自动开机，定时自动关机功能。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7.内置抽拉键盘、内置触控鼠标面板+左右按键设计，支持通过USB接口外接鼠标键盘。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8.支持录音存储功能，可在后台自定义设置录音文件保存路径。</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ind w:left="0" w:leftChars="0" w:firstLine="0" w:firstLine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数字化IP网络广播管理软件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软件是整个系统的运行核心，统一管理系统内所有音频终端，包括寻呼话筒、对讲终端、广播终端和消防接口设备，实时显示音频终端的IP地址、在线状态、任务状态、音量运行状态。2.支撑各音频终端的运行，负责音频流传输管理，响应各音频终端播放请求和音频全双工交换，支持B/S架构，通过网页登陆可进行终端管理、用户管理、节目播放管理、音频文件管理、录音存贮、内部通讯调度处理功能。3.管理节目库资源，为所有音频终端器提供定时播放和实时点播媒体服务，响应各终端的节目播放请求，为各音频工作站提供数据接口服务。4.提供全双工语音数据交换，响应各对讲终端的呼叫和通话请求，支持一键呼叫、一键对讲、一键求助、一键报警通话模式，支持自动接听、手动接听，支持自定义接听提示音。5.支持多种呼叫策略，包括无响应转移、占线转移、关机转移，支持时间策略和转移策略自定义设置。支持设置对讲终端呼叫策略，可自定义通话时间0-180S或不受限，可选择是否自动接听，支持自定义选择来电铃声与等待铃声。6.支持终端短路输入联动触发，可任意设置联动触发方案和触发终端数量，触发方案包括短路输出、音乐播放、巡更警报。7.编程定时任务，支持编程多套定时方案，支持选择任意终端和设置任意时间；支持定时任务执行测试、设置重复周期。支持定时任务多种音源选择（音乐播放、声卡采集、终端采集）。</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前置放大器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1具有≥5路话筒（MIC）输入，≥3路标准信号线路（AUX）输入，≥2路紧急线路（EMC）输入；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2.MIC 5具有最高优先、强行切入优先功能；MIC 5和EMC最高优先权限功能可通过拔动开关交替选择；3.紧急输入线路具有二级优先，强行切入优先功能；4.MIC1.2.3.4.5 和≥2路紧急输入（EMC）通道均附设有线路辅助输入接口功能；5.具有默音深度调节旋钮和EMC输入增益调节旋钮。</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IP音频采集器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集设备支持将模拟音频采集编码成数字音频，具有≥1路RJ45网络接口，支持定时采播任务、临时采播任务功能。2.具有≥2组RCA音频输入接口，支持音量调节功能。3.采播任务支持≥3种采集音质可选，支持普通、中级、高级音质选择模式。4.支持声压触发采集外部音源，智能识别音频,自动建立采集任务,可自定义执行区域,可自定义延时关闭时间。</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合并式播放器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1.设备采用机柜式设计。2.内置USB接口/SD卡槽、CD机芯和收音机、蓝牙≥四种音源，CD播放和MP3播放共用一个通道输出，收音机、蓝牙共用一个通道输出。3.CD采用吸入式机芯；收音机采用收音模块； 调频、调幅（AM/FM）立体声二波段接收可选，电台频率记忆存储≥99个。4.具备有≥1路USB接口、≥1路SD卡槽口、≥1路收音FM天线口、≥2路音频输出接口。5.带红外遥控功能，并能够独立遥控音量控制。</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1.换能方式：驻极体；2.钟声提示：带钟声提示功能；3.线材配备：10米（卡农母头转6.35音频线）；4.咪杆长度 ：420mm；5.具备有灯环提示功能</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寻呼话筒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2.内置≥1路网络硬件音频解码模块，具有≥1路RJ45网络接口，≥100Mbps传输速率。3.支持监听任意终端功能，内置≥2W全频扬声器，实现双向通话和网络监听。4.具有≥1路音频线路输入接口，支持采集播放功能；具有≥1路音频线路输出接口，可外接功率放大器。5.支持直接操作呼叫或对讲任意终端，支持通过话筒广播呼叫功能，广播延时≤100ms。</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300">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955306E">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话筒呼叫控制嵌入软件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软件内嵌于话筒设备，实现话筒呼叫控制功能，支撑设备各项基本功能的运行。2.授权操作管理功能，支持服务器统一配置管理用户及密码。3.支持新配置注册智能语音提示功能。4.支持多种呼叫策略，包括呼叫转移、呼叫等待、无人接听提醒等。5.支持双向对讲功能，可与另一方对讲终端实现双向语音传输功能。6.可实现分区/全区进行喊话/广播功能。7.支持单独调节音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C0">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6CFFBDF">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66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IP网络音箱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43A7">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1路网络硬件音频解码模块,具有≥1路RJ45网络接口，≥100Mbps传输速率。2.支持≥1路音频线路输入接口，具有独立的音量调节功能。3.设备集成有数字功放，功率≥2×20W（MAX），≥1路接主音箱，≥1路外接到副音箱。4.内置≥2级优先级功能设计：(1)AUX与网络背景音乐信号同级，混音输出。(2)网络报警信号优先AUX与网络背景音乐信号。5.支持IPv6、IPv4网络协议。</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A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BC2">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D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AC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IP有源音箱扩声软件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420D">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软件内嵌于IP有源音箱扩声终端设备，支撑设备各项基本功能的运行。2.嵌入DSP音频处理技术，高保真解码音频文件；支持远程点播功能，支持节目播放。3.支持新配置注册智能语音提示功能。4.支持播放背景音乐功能，支持单独调节音量。5.支持播放本地服务器的MP3文件；支持单独播放或分区/全区播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9F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9A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9170">
            <w:pPr>
              <w:ind w:left="0" w:leftChars="0"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E44A">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508">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45E1E4F">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190F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9C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FE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电源管理器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6E67">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1.机柜式设计，黑色氧化铝拉丝面板；2.支持≥16路电源输出，具有≥14个AC220V(10A)，≥2个AC220V(16A)接口， 电源插口总容量达≥6KVA；3.设有船型开关，可手动控制≥16个电源上断电；也可与定时器、智能控制器相连接，实现自动控制；支持配置CH1和CH2通道为受控或不受控状态。4.有≥1路24V消防信号输入接口；≥1路消防短路报警触发信号输出。</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0D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F8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1B08">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97CD">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6FB1">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F92424E">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5CD7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35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1F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采集器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DAB1">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设备采用嵌入式计算机技术和DSP音频处理技术设计。2.16路消防短路信号输入，可无限扩展输入接口，方便更大的系统使用。3.面板支持一键取消任务。4.标配网络接口，全速率连接最高可达100M。5.支持广播系统对终端进行远程固件升级，无需到终端本地升级，减轻维护人员工作强度。6.网络接口：标准RJ45输入7.传输速率：100Mbps8.支持协议：TCP/IP、UDP、IGMP（组播）9.短路接口：工业标准压线接线端子</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1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A9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D54D">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B88B">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9F4">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A0DB205">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46CE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56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9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消防语音系统软件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02C">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1.软件内嵌于消防语音系统主机设备，支撑设备各项基本功能的运行。2.支持分区监听、设备状态实时查看。3.实现对设备的控制、信号切换。</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22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F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B638">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1FBA">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F7D9">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787AF8C">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448D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FB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40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IP网络广播系统分控软件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3B2">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1.数字客户端分控软件运行于Windows操作系统的台式电脑或笔记本电脑（兼容(win7-win10、server2008或更高版本)），用户登陆通过系统服务器的权限验证即可进行对广播系统的控制。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2.客户端软件利用网络（局域网、广域网）远程登录到服务器，支持多套客户端软件同时登录到服务器，各套客户端软件独立工作。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3.可实现终端状态查看、音频播放、监听、广播及对讲、会话状态监控等功能。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4.支持实时查看终端工作状态、音量、任务，并且可在终端状态界面设置终端音量。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7C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F0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DDB3">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F72B">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47B">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E0BAFA2">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F2C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F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28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寻呼话筒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4961">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2.内置≥1路网络硬件音频解码模块，具有≥1路RJ45网络接口，≥100Mbps传输速率。3.支持监听任意终端功能，内置≥2W全频扬声器，实现双向通话和网络监听。4.具有≥1路音频线路输入接口，支持采集播放功能；具有≥1路音频线路输出接口，可外接功率放大器。5.支持直接操作呼叫或对讲任意终端，支持通过话筒广播呼叫功能，广播延时≤100ms。6.支持多种呼叫策略，包括无响应转移、占线转移、关机转移，支持自定义接听提示音，支持转移时间、无人接听时间、呼叫等待时间自定义。7.具有≥1个3.5耳机接口、≥1路3.5话筒输入接口。8.具有≥1路短路输出接口、≥1路短路输入接口。</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21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4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C88">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0D0B">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9276">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3F3FB2F">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5769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7E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70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话筒呼叫控制嵌入软件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B6D">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内嵌于话筒设备，实现话筒呼叫控制功能，支撑设备各项基本功能的运行。2.授权操作管理功能，支持服务器统一配置管理用户及密码。3.支持新配置注册智能语音提示功能。4.支持多种呼叫策略，包括呼叫转移、呼叫等待、无人接听提醒等。5.支持双向对讲功能，可与另一方对讲终端实现双向语音传输功能。6.可实现分区/全区进行喊话/广播功能。7.支持单独调节音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6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C2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85C0">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48E3">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6294">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33B6F75">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1DCF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A9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2D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IP网络功放终端</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F46">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设备采用标准≥19英寸机架设计，带有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240W；支持定压方式输出。9.支持通过后台软件对终端进行远程固件升级。10.具有≥1路RJ45网络接口，≥100Mbps传输速率。11.自带≥1路≥100V定压功率备份输入接口，可组成一主多备、多主一备、多主多备的公共打铃系统。12.内置主备切换检测模块，断网断电以及本机故障时≤0.3秒内切换到备份功率输入，主备切换过程无卡顿、不掉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E5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80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B7C1">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EAD0">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D0A2">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461DA5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409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C5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67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数字IP网络平台终端嵌入软件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0A7A">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内嵌于数字IP网络平台终端设备，支撑设备各项基本功能的运行。2.嵌入DSP音频处理技术，高保真解码音频文件；支持远程点播功能，支持节目播放。3.支持新配置注册智能语音提示功能。4.支持播放背景音乐功能，支持单独调节音量。5.支持播放本地服务器的MP3文件；支持单独播放或分区/全区播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59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3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FC28">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F8AD">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02A0">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04A3585">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20CB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A0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2A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IP网络功放终端</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17C">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设备采用标准≥19英寸机架设计，带有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650W；支持定压方式输出。9.支持通过后台软件对终端进行远程固件升级。10.具有≥1路RJ45网络接口，≥100Mbps传输速率。11.自带≥1路≥100V定压功率备份输入接口，可组成一主多备、多主一备、多主多备的公共打铃系统。12.内置主备切换</w:t>
            </w:r>
            <w:bookmarkStart w:id="0" w:name="_GoBack"/>
            <w:bookmarkEnd w:id="0"/>
            <w:r>
              <w:rPr>
                <w:rFonts w:hint="eastAsia" w:ascii="宋体" w:hAnsi="宋体" w:eastAsia="宋体" w:cs="宋体"/>
                <w:i w:val="0"/>
                <w:iCs w:val="0"/>
                <w:color w:val="000000"/>
                <w:kern w:val="0"/>
                <w:sz w:val="24"/>
                <w:szCs w:val="24"/>
                <w:u w:val="none"/>
                <w:lang w:val="en-US" w:eastAsia="zh-CN" w:bidi="ar"/>
              </w:rPr>
              <w:t>检测模块，断网断电以及本机故障时≤0.3秒内切换到备份功率输入，主备切换过程无卡顿、不掉字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E6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1D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B8D1">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086F">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EB10">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41B49F8">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1049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4D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1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数字IP网络平台终端嵌入软件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6F35">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内嵌于数字IP网络平台终端设备，支撑设备各项基本功能的运行。2.嵌入DSP音频处理技术，高保真解码音频文件；支持远程点播功能，支持节目播放。3.支持新配置注册智能语音提示功能。4.支持播放背景音乐功能，支持单独调节音量。5.支持播放本地服务器的MP3文件；支持单独播放或分区/全区播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4C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96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F867">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CBCA">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C5FF">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BFDD81A">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2354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6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AA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IP终端</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DF0">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设备采用≥19英寸机架设计，带有LCD显示屏。2.具有≥1路线路输入接口和≥1路话筒输入接口，可独立调节音量；支持高低音调节电位器控制。3.具有≥1路EMC输入接口，具有最高优先级；具有≥1路音频输出接口。4.具有≥2路三线制强切输出接口，无需强切电源。5.支持≥2路电源输出插座，内置智能电源管理，无音乐或呼叫时，自动切断输出座电源，有信号时自动打开输出座电源。</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E5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F4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A77B">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A808">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1F55">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A1692B2">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0EAF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73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6A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数字化IP网络终端嵌入软件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0413">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内嵌于数字化IP网络终端设备，支撑设备各项基本功能的运行。2.嵌入DSP音频处理技术，高保真解码音频文件；支持远程点播功能，支持节目播放。3.支持新配置注册智能语音提示功能4.支持播放背景音乐功能，支持单独调节音量。5.支持播放本地服务器的MP3文件；支持单独播放或分区/全区播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6F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89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7DCB">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F0B7">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F02F">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C0ECBF0">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18CC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1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61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前置放大器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98BA">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1具有≥5路话筒（MIC）输入，≥3路标准信号线路（AUX）输入，≥2路紧急线路（EMC）输入；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2.MIC 5具有最高优先、强行切入优先功能；MIC 5和EMC最高优先权限功能可通过拔动开关交替选择；3.紧急输入线路具有二级优先，强行切入优先功能；4.MIC1.2.3.4.5 和≥2路紧急输入（EMC）通道均附设有线路辅助输入接口功能；5.具有默音深度调节旋钮和EMC输入增益调节旋钮。</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EC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29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A895">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37D7">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97A">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F6D0679">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3E6C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44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46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纯后级功放</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79E8">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D类数字功放技术，功率放大电路设计2.额定输出功率：≥1500W3.具有管道式散热结构，内置自动温度控制风扇冷却系统。4.具有≥1通道LINE不平衡TRS/XLR高品质多功能输入接口，≥1通道LINE平衡XLR级联输出。5.内置PFC电路和软开关电源技术，开关机自动软启动控制。6.功放电路，零交越失真。7.内置智能削顶失真和过流压限系统，能保护扬声器单元。8.具有过温、过压、欠压、过流、短路多重智能检测保护系统。9.具有2种定阻和定压输出模式:4-16Ω/100V可选择。</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9F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06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6C02">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8430">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3B73">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2096F5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63D9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60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E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天花喇叭</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DA0">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1．额定功率（100V）：3W,6W2．额定功率（70V）：1.5W,3W3．灵敏度≥89dB4．频率响应（-10dB）：100Hz-16KHz5．喇叭单元：5"x1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AE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A1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130A">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65A0">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5E47">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43E504F">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309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8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FA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壁挂音箱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5C24">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1．额定功率（100V）：3W,6W,10W2．额定功率（70V）：1.5W,3W,5W3．灵敏度：91dB±3dB4．频率响应：130Hz-18KHz5．喇叭单元：6.5"×16．防护等级：IP5X</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C3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75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5A64">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9D20">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8217">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9000B2C">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0E50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C8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C5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草地音箱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FC8B">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功率(100V)：15W, 30W2. 功率(70V)：7.5W, 15W3．频率响应：120Hz-16KHz4．灵敏度≥96dB5．喇叭单元：5.5″6．防护等级：IP66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7B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82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62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7043">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3034">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EA8">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E35454F">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417A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C7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B9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E6A8">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1．额定功率(100V)：30W；2．额定功率(70V)：15W；3．灵敏度≥89dB；4．频率响应：110Hz-15KHz；5．防护等级：IP66；6．喇叭单元：6.5"×1+3"×1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5F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97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28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3760">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海康威视、广州保伦电子ITC、广州迪士普DSPPA、上海旗胜BGM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701B">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32FA">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6844B9A">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57BD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BA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0E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音频连接线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E6E1">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1.8米音频连接线：莲花（RCA）-莲花（RCA）</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89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0A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C548">
            <w:pPr>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国产优质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683B">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449E">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2B97E47">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1D06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F3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4F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音频连接线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704B">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1.8米音频连接线：莲花（RCA）-6.35话筒插头</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FB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EC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3D59">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国产优质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B1A3">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23CA">
            <w:pP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AE49B90">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4760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3C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31</w:t>
            </w:r>
          </w:p>
        </w:tc>
        <w:tc>
          <w:tcPr>
            <w:tcW w:w="11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8C5F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
                  <wp:cNvGraphicFramePr/>
                  <a:graphic xmlns:a="http://schemas.openxmlformats.org/drawingml/2006/main">
                    <a:graphicData uri="http://schemas.openxmlformats.org/drawingml/2006/picture">
                      <pic:pic xmlns:pic="http://schemas.openxmlformats.org/drawingml/2006/picture">
                        <pic:nvPicPr>
                          <pic:cNvPr id="2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9"/>
                  <wp:cNvGraphicFramePr/>
                  <a:graphic xmlns:a="http://schemas.openxmlformats.org/drawingml/2006/main">
                    <a:graphicData uri="http://schemas.openxmlformats.org/drawingml/2006/picture">
                      <pic:pic xmlns:pic="http://schemas.openxmlformats.org/drawingml/2006/picture">
                        <pic:nvPicPr>
                          <pic:cNvPr id="1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5_SpCnt_1"/>
                  <wp:cNvGraphicFramePr/>
                  <a:graphic xmlns:a="http://schemas.openxmlformats.org/drawingml/2006/main">
                    <a:graphicData uri="http://schemas.openxmlformats.org/drawingml/2006/picture">
                      <pic:pic xmlns:pic="http://schemas.openxmlformats.org/drawingml/2006/picture">
                        <pic:nvPicPr>
                          <pic:cNvPr id="20"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9_SpCnt_1"/>
                  <wp:cNvGraphicFramePr/>
                  <a:graphic xmlns:a="http://schemas.openxmlformats.org/drawingml/2006/main">
                    <a:graphicData uri="http://schemas.openxmlformats.org/drawingml/2006/picture">
                      <pic:pic xmlns:pic="http://schemas.openxmlformats.org/drawingml/2006/picture">
                        <pic:nvPicPr>
                          <pic:cNvPr id="12"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12"/>
                  <wp:cNvGraphicFramePr/>
                  <a:graphic xmlns:a="http://schemas.openxmlformats.org/drawingml/2006/main">
                    <a:graphicData uri="http://schemas.openxmlformats.org/drawingml/2006/picture">
                      <pic:pic xmlns:pic="http://schemas.openxmlformats.org/drawingml/2006/picture">
                        <pic:nvPicPr>
                          <pic:cNvPr id="16"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0"/>
                  <wp:cNvGraphicFramePr/>
                  <a:graphic xmlns:a="http://schemas.openxmlformats.org/drawingml/2006/main">
                    <a:graphicData uri="http://schemas.openxmlformats.org/drawingml/2006/picture">
                      <pic:pic xmlns:pic="http://schemas.openxmlformats.org/drawingml/2006/picture">
                        <pic:nvPicPr>
                          <pic:cNvPr id="13"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9_SpCnt_2"/>
                  <wp:cNvGraphicFramePr/>
                  <a:graphic xmlns:a="http://schemas.openxmlformats.org/drawingml/2006/main">
                    <a:graphicData uri="http://schemas.openxmlformats.org/drawingml/2006/picture">
                      <pic:pic xmlns:pic="http://schemas.openxmlformats.org/drawingml/2006/picture">
                        <pic:nvPicPr>
                          <pic:cNvPr id="15"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7"/>
                  <wp:cNvGraphicFramePr/>
                  <a:graphic xmlns:a="http://schemas.openxmlformats.org/drawingml/2006/main">
                    <a:graphicData uri="http://schemas.openxmlformats.org/drawingml/2006/picture">
                      <pic:pic xmlns:pic="http://schemas.openxmlformats.org/drawingml/2006/picture">
                        <pic:nvPicPr>
                          <pic:cNvPr id="1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5_SpCnt_2"/>
                  <wp:cNvGraphicFramePr/>
                  <a:graphic xmlns:a="http://schemas.openxmlformats.org/drawingml/2006/main">
                    <a:graphicData uri="http://schemas.openxmlformats.org/drawingml/2006/picture">
                      <pic:pic xmlns:pic="http://schemas.openxmlformats.org/drawingml/2006/picture">
                        <pic:nvPicPr>
                          <pic:cNvPr id="18"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4"/>
                  <wp:cNvGraphicFramePr/>
                  <a:graphic xmlns:a="http://schemas.openxmlformats.org/drawingml/2006/main">
                    <a:graphicData uri="http://schemas.openxmlformats.org/drawingml/2006/picture">
                      <pic:pic xmlns:pic="http://schemas.openxmlformats.org/drawingml/2006/picture">
                        <pic:nvPicPr>
                          <pic:cNvPr id="14"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2_SpCnt_1"/>
                  <wp:cNvGraphicFramePr/>
                  <a:graphic xmlns:a="http://schemas.openxmlformats.org/drawingml/2006/main">
                    <a:graphicData uri="http://schemas.openxmlformats.org/drawingml/2006/picture">
                      <pic:pic xmlns:pic="http://schemas.openxmlformats.org/drawingml/2006/picture">
                        <pic:nvPicPr>
                          <pic:cNvPr id="22"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1"/>
                  <wp:cNvGraphicFramePr/>
                  <a:graphic xmlns:a="http://schemas.openxmlformats.org/drawingml/2006/main">
                    <a:graphicData uri="http://schemas.openxmlformats.org/drawingml/2006/picture">
                      <pic:pic xmlns:pic="http://schemas.openxmlformats.org/drawingml/2006/picture">
                        <pic:nvPicPr>
                          <pic:cNvPr id="23"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4" name="Text_Box_10_SpCnt_1"/>
                  <wp:cNvGraphicFramePr/>
                  <a:graphic xmlns:a="http://schemas.openxmlformats.org/drawingml/2006/main">
                    <a:graphicData uri="http://schemas.openxmlformats.org/drawingml/2006/picture">
                      <pic:pic xmlns:pic="http://schemas.openxmlformats.org/drawingml/2006/picture">
                        <pic:nvPicPr>
                          <pic:cNvPr id="24"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_SpCnt_3"/>
                  <wp:cNvGraphicFramePr/>
                  <a:graphic xmlns:a="http://schemas.openxmlformats.org/drawingml/2006/main">
                    <a:graphicData uri="http://schemas.openxmlformats.org/drawingml/2006/picture">
                      <pic:pic xmlns:pic="http://schemas.openxmlformats.org/drawingml/2006/picture">
                        <pic:nvPicPr>
                          <pic:cNvPr id="8"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14_SpCnt_1"/>
                  <wp:cNvGraphicFramePr/>
                  <a:graphic xmlns:a="http://schemas.openxmlformats.org/drawingml/2006/main">
                    <a:graphicData uri="http://schemas.openxmlformats.org/drawingml/2006/picture">
                      <pic:pic xmlns:pic="http://schemas.openxmlformats.org/drawingml/2006/picture">
                        <pic:nvPicPr>
                          <pic:cNvPr id="6"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2_SpCnt_2"/>
                  <wp:cNvGraphicFramePr/>
                  <a:graphic xmlns:a="http://schemas.openxmlformats.org/drawingml/2006/main">
                    <a:graphicData uri="http://schemas.openxmlformats.org/drawingml/2006/picture">
                      <pic:pic xmlns:pic="http://schemas.openxmlformats.org/drawingml/2006/picture">
                        <pic:nvPicPr>
                          <pic:cNvPr id="11"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0_SpCnt_2"/>
                  <wp:cNvGraphicFramePr/>
                  <a:graphic xmlns:a="http://schemas.openxmlformats.org/drawingml/2006/main">
                    <a:graphicData uri="http://schemas.openxmlformats.org/drawingml/2006/picture">
                      <pic:pic xmlns:pic="http://schemas.openxmlformats.org/drawingml/2006/picture">
                        <pic:nvPicPr>
                          <pic:cNvPr id="4"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9_SpCnt_3"/>
                  <wp:cNvGraphicFramePr/>
                  <a:graphic xmlns:a="http://schemas.openxmlformats.org/drawingml/2006/main">
                    <a:graphicData uri="http://schemas.openxmlformats.org/drawingml/2006/picture">
                      <pic:pic xmlns:pic="http://schemas.openxmlformats.org/drawingml/2006/picture">
                        <pic:nvPicPr>
                          <pic:cNvPr id="5"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4_SpCnt_2"/>
                  <wp:cNvGraphicFramePr/>
                  <a:graphic xmlns:a="http://schemas.openxmlformats.org/drawingml/2006/main">
                    <a:graphicData uri="http://schemas.openxmlformats.org/drawingml/2006/picture">
                      <pic:pic xmlns:pic="http://schemas.openxmlformats.org/drawingml/2006/picture">
                        <pic:nvPicPr>
                          <pic:cNvPr id="7"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7_SpCnt_2"/>
                  <wp:cNvGraphicFramePr/>
                  <a:graphic xmlns:a="http://schemas.openxmlformats.org/drawingml/2006/main">
                    <a:graphicData uri="http://schemas.openxmlformats.org/drawingml/2006/picture">
                      <pic:pic xmlns:pic="http://schemas.openxmlformats.org/drawingml/2006/picture">
                        <pic:nvPicPr>
                          <pic:cNvPr id="9"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2_SpCnt_3"/>
                  <wp:cNvGraphicFramePr/>
                  <a:graphic xmlns:a="http://schemas.openxmlformats.org/drawingml/2006/main">
                    <a:graphicData uri="http://schemas.openxmlformats.org/drawingml/2006/picture">
                      <pic:pic xmlns:pic="http://schemas.openxmlformats.org/drawingml/2006/picture">
                        <pic:nvPicPr>
                          <pic:cNvPr id="2"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0_SpCnt_3"/>
                  <wp:cNvGraphicFramePr/>
                  <a:graphic xmlns:a="http://schemas.openxmlformats.org/drawingml/2006/main">
                    <a:graphicData uri="http://schemas.openxmlformats.org/drawingml/2006/picture">
                      <pic:pic xmlns:pic="http://schemas.openxmlformats.org/drawingml/2006/picture">
                        <pic:nvPicPr>
                          <pic:cNvPr id="10"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F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9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r>
              <w:rPr>
                <w:rFonts w:hint="eastAsia" w:ascii="宋体" w:hAnsi="宋体" w:cs="宋体"/>
                <w:i w:val="0"/>
                <w:iCs w:val="0"/>
                <w:color w:val="FF0000"/>
                <w:kern w:val="0"/>
                <w:sz w:val="24"/>
                <w:szCs w:val="24"/>
                <w:u w:val="none"/>
                <w:lang w:val="en-US" w:eastAsia="zh-CN" w:bidi="ar"/>
              </w:rPr>
              <w:t>。</w:t>
            </w:r>
          </w:p>
        </w:tc>
      </w:tr>
      <w:tr w14:paraId="327A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35B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B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047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16F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年</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FF0000"/>
                <w:kern w:val="0"/>
                <w:sz w:val="24"/>
                <w:szCs w:val="24"/>
                <w:u w:val="none"/>
                <w:lang w:val="en-US" w:eastAsia="zh-CN" w:bidi="ar"/>
              </w:rPr>
              <w:t>必填</w:t>
            </w:r>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15天</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30</w:t>
            </w:r>
            <w:r>
              <w:rPr>
                <w:rFonts w:hint="eastAsia" w:ascii="宋体" w:hAnsi="宋体" w:eastAsia="宋体" w:cs="宋体"/>
                <w:i w:val="0"/>
                <w:iCs w:val="0"/>
                <w:color w:val="FF0000"/>
                <w:kern w:val="0"/>
                <w:sz w:val="24"/>
                <w:szCs w:val="24"/>
                <w:u w:val="none"/>
                <w:lang w:val="en-US" w:eastAsia="zh-CN" w:bidi="ar"/>
              </w:rPr>
              <w:t>%预付款，</w:t>
            </w:r>
            <w:r>
              <w:rPr>
                <w:rFonts w:hint="eastAsia" w:ascii="宋体" w:hAnsi="宋体" w:cs="宋体"/>
                <w:i w:val="0"/>
                <w:iCs w:val="0"/>
                <w:color w:val="FF0000"/>
                <w:kern w:val="0"/>
                <w:sz w:val="24"/>
                <w:szCs w:val="24"/>
                <w:u w:val="none"/>
                <w:lang w:val="en-US" w:eastAsia="zh-CN" w:bidi="ar"/>
              </w:rPr>
              <w:t>安装调试</w:t>
            </w:r>
            <w:r>
              <w:rPr>
                <w:rFonts w:hint="eastAsia" w:ascii="宋体" w:hAnsi="宋体" w:eastAsia="宋体" w:cs="宋体"/>
                <w:i w:val="0"/>
                <w:iCs w:val="0"/>
                <w:color w:val="FF0000"/>
                <w:kern w:val="0"/>
                <w:sz w:val="24"/>
                <w:szCs w:val="24"/>
                <w:u w:val="none"/>
                <w:lang w:val="en-US" w:eastAsia="zh-CN" w:bidi="ar"/>
              </w:rPr>
              <w:t>合格后</w:t>
            </w:r>
            <w:r>
              <w:rPr>
                <w:rFonts w:hint="eastAsia" w:ascii="宋体" w:hAnsi="宋体" w:cs="宋体"/>
                <w:i w:val="0"/>
                <w:iCs w:val="0"/>
                <w:color w:val="FF0000"/>
                <w:kern w:val="0"/>
                <w:sz w:val="24"/>
                <w:szCs w:val="24"/>
                <w:u w:val="none"/>
                <w:lang w:val="en-US" w:eastAsia="zh-CN" w:bidi="ar"/>
              </w:rPr>
              <w:t>付至合同价98%，质保期满后付清尾款。</w:t>
            </w:r>
          </w:p>
        </w:tc>
      </w:tr>
    </w:tbl>
    <w:p w14:paraId="5E303FC1">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1、付款条件:合同签订后个7日内支付30%预付款，安装调试合格后付至合同价98%，质保期满后付清尾款。注：付款时供应商须提供正规发票（因发票问题而导致无法正常付款的，责任由供应商自己承担）。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802C9E"/>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CDE3385"/>
    <w:rsid w:val="0D681C76"/>
    <w:rsid w:val="0D78696A"/>
    <w:rsid w:val="0DBF30C4"/>
    <w:rsid w:val="0DD96789"/>
    <w:rsid w:val="0EE75859"/>
    <w:rsid w:val="0F0F7410"/>
    <w:rsid w:val="100159F1"/>
    <w:rsid w:val="10275305"/>
    <w:rsid w:val="10941E2C"/>
    <w:rsid w:val="1106690F"/>
    <w:rsid w:val="115C3F6A"/>
    <w:rsid w:val="11F315DF"/>
    <w:rsid w:val="12F86B39"/>
    <w:rsid w:val="133B07D3"/>
    <w:rsid w:val="138B678C"/>
    <w:rsid w:val="13A43BC7"/>
    <w:rsid w:val="144B0B25"/>
    <w:rsid w:val="14F94AB5"/>
    <w:rsid w:val="1516314A"/>
    <w:rsid w:val="157C124F"/>
    <w:rsid w:val="15A123AF"/>
    <w:rsid w:val="15B405D8"/>
    <w:rsid w:val="16B37629"/>
    <w:rsid w:val="173B2189"/>
    <w:rsid w:val="17737FB9"/>
    <w:rsid w:val="17CE6EF3"/>
    <w:rsid w:val="185D2018"/>
    <w:rsid w:val="1870435E"/>
    <w:rsid w:val="18B65219"/>
    <w:rsid w:val="193251CA"/>
    <w:rsid w:val="1959078F"/>
    <w:rsid w:val="19850B90"/>
    <w:rsid w:val="1A48720E"/>
    <w:rsid w:val="1B811C42"/>
    <w:rsid w:val="1B96686D"/>
    <w:rsid w:val="1BB00C3B"/>
    <w:rsid w:val="1BE36910"/>
    <w:rsid w:val="1C1414B5"/>
    <w:rsid w:val="1C44694B"/>
    <w:rsid w:val="1CB642A6"/>
    <w:rsid w:val="1CBE542C"/>
    <w:rsid w:val="1CCD669D"/>
    <w:rsid w:val="1E434544"/>
    <w:rsid w:val="1F444EB4"/>
    <w:rsid w:val="1F741D8C"/>
    <w:rsid w:val="1FC0011B"/>
    <w:rsid w:val="1FF000D2"/>
    <w:rsid w:val="1FF040AD"/>
    <w:rsid w:val="200C3464"/>
    <w:rsid w:val="23812232"/>
    <w:rsid w:val="23B60935"/>
    <w:rsid w:val="245503E6"/>
    <w:rsid w:val="24874408"/>
    <w:rsid w:val="24883CAD"/>
    <w:rsid w:val="24BF2D95"/>
    <w:rsid w:val="252E232A"/>
    <w:rsid w:val="259D1AFE"/>
    <w:rsid w:val="25BA7F75"/>
    <w:rsid w:val="25DE44B5"/>
    <w:rsid w:val="264801BD"/>
    <w:rsid w:val="267537D8"/>
    <w:rsid w:val="26A67AF4"/>
    <w:rsid w:val="26D0702D"/>
    <w:rsid w:val="27933CD9"/>
    <w:rsid w:val="27B75BEB"/>
    <w:rsid w:val="28126BBF"/>
    <w:rsid w:val="281D45C6"/>
    <w:rsid w:val="292E08DE"/>
    <w:rsid w:val="296A41D2"/>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2EE0B0F"/>
    <w:rsid w:val="435E2995"/>
    <w:rsid w:val="43966372"/>
    <w:rsid w:val="43F65ECD"/>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AE44879"/>
    <w:rsid w:val="5BBF6D32"/>
    <w:rsid w:val="5C02364F"/>
    <w:rsid w:val="5C4A6C71"/>
    <w:rsid w:val="5CA61E20"/>
    <w:rsid w:val="5D9E05A7"/>
    <w:rsid w:val="5DF96E76"/>
    <w:rsid w:val="5DFE3DF5"/>
    <w:rsid w:val="5E0F059C"/>
    <w:rsid w:val="5E385608"/>
    <w:rsid w:val="5EB9237C"/>
    <w:rsid w:val="5F0458F0"/>
    <w:rsid w:val="5FE226DD"/>
    <w:rsid w:val="60C33852"/>
    <w:rsid w:val="614F4C11"/>
    <w:rsid w:val="61547E11"/>
    <w:rsid w:val="61852A60"/>
    <w:rsid w:val="62567581"/>
    <w:rsid w:val="631F4682"/>
    <w:rsid w:val="63D4721D"/>
    <w:rsid w:val="640673E3"/>
    <w:rsid w:val="640F17B5"/>
    <w:rsid w:val="64467711"/>
    <w:rsid w:val="64E752C4"/>
    <w:rsid w:val="65DA0DD4"/>
    <w:rsid w:val="65F729C7"/>
    <w:rsid w:val="66934D57"/>
    <w:rsid w:val="66A27154"/>
    <w:rsid w:val="66A80E51"/>
    <w:rsid w:val="676905E0"/>
    <w:rsid w:val="677551D7"/>
    <w:rsid w:val="68577F92"/>
    <w:rsid w:val="698D373B"/>
    <w:rsid w:val="69FD1FFD"/>
    <w:rsid w:val="6A2B5BCA"/>
    <w:rsid w:val="6A786D8C"/>
    <w:rsid w:val="6AA75C6E"/>
    <w:rsid w:val="6BB31049"/>
    <w:rsid w:val="6BF15785"/>
    <w:rsid w:val="6C1442B0"/>
    <w:rsid w:val="6CF430F2"/>
    <w:rsid w:val="6D3C0639"/>
    <w:rsid w:val="6DB96BEC"/>
    <w:rsid w:val="6E264481"/>
    <w:rsid w:val="6E7D2BC3"/>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7740EE3"/>
    <w:rsid w:val="7925633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811</Words>
  <Characters>822</Characters>
  <Lines>0</Lines>
  <Paragraphs>0</Paragraphs>
  <TotalTime>3</TotalTime>
  <ScaleCrop>false</ScaleCrop>
  <LinksUpToDate>false</LinksUpToDate>
  <CharactersWithSpaces>1178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2026-02-04T01:28:34Z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F29168B04264439C9D2599999021D684_13</vt:lpwstr>
  </property>
  <property fmtid="{D5CDD505-2E9C-101B-9397-08002B2CF9AE}" pid="4" name="KSOTemplateDocerSaveRecord">
    <vt:lpwstr>eyJoZGlkIjoiYjY0ZTAzOGFkMDVjYTAyNGRiZmEzMWIyNTAyNzgyNTIiLCJ1c2VySWQiOiI2OTk3Mjg4NzkifQ==</vt:lpwstr>
  </property>
</Properties>
</file>