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E2831E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2A7BB7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4134F3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DDBE93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r>
        <w:rPr>
          <w:rFonts w:hint="eastAsia" w:ascii="仿宋" w:hAnsi="仿宋" w:eastAsia="仿宋" w:cs="仿宋"/>
          <w:b/>
          <w:bCs/>
          <w:kern w:val="2"/>
          <w:sz w:val="28"/>
          <w:szCs w:val="28"/>
          <w:lang w:val="en-US" w:eastAsia="zh-CN" w:bidi="ar-SA"/>
        </w:rPr>
        <w:t>（加盖公章）</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69"/>
        <w:gridCol w:w="1676"/>
        <w:gridCol w:w="4049"/>
        <w:gridCol w:w="1317"/>
        <w:gridCol w:w="1383"/>
        <w:gridCol w:w="2450"/>
        <w:gridCol w:w="890"/>
        <w:gridCol w:w="811"/>
        <w:gridCol w:w="980"/>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700" w:type="dxa"/>
            <w:gridSpan w:val="2"/>
            <w:tcBorders>
              <w:top w:val="single" w:color="000000" w:sz="4" w:space="0"/>
              <w:left w:val="single" w:color="000000" w:sz="4" w:space="0"/>
              <w:bottom w:val="single" w:color="000000" w:sz="4" w:space="0"/>
              <w:right w:val="single" w:color="000000" w:sz="4" w:space="0"/>
            </w:tcBorders>
            <w:shd w:val="clear"/>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5131" w:type="dxa"/>
            <w:gridSpan w:val="4"/>
            <w:tcBorders>
              <w:top w:val="single" w:color="000000" w:sz="4" w:space="0"/>
              <w:left w:val="nil"/>
              <w:bottom w:val="single" w:color="000000" w:sz="4" w:space="0"/>
              <w:right w:val="single" w:color="000000" w:sz="4" w:space="0"/>
            </w:tcBorders>
            <w:shd w:val="clear"/>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5131" w:type="dxa"/>
            <w:gridSpan w:val="4"/>
            <w:tcBorders>
              <w:top w:val="single" w:color="000000" w:sz="4" w:space="0"/>
              <w:left w:val="nil"/>
              <w:bottom w:val="single" w:color="000000" w:sz="4" w:space="0"/>
              <w:right w:val="single" w:color="000000" w:sz="4" w:space="0"/>
            </w:tcBorders>
            <w:shd w:val="clear"/>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5131" w:type="dxa"/>
            <w:gridSpan w:val="4"/>
            <w:tcBorders>
              <w:top w:val="single" w:color="000000" w:sz="4" w:space="0"/>
              <w:left w:val="nil"/>
              <w:bottom w:val="single" w:color="000000" w:sz="4" w:space="0"/>
              <w:right w:val="single" w:color="000000" w:sz="4" w:space="0"/>
            </w:tcBorders>
            <w:shd w:val="clear"/>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700" w:type="dxa"/>
            <w:gridSpan w:val="2"/>
            <w:tcBorders>
              <w:top w:val="single" w:color="000000" w:sz="4" w:space="0"/>
              <w:left w:val="single" w:color="000000" w:sz="4" w:space="0"/>
              <w:bottom w:val="single" w:color="000000" w:sz="4" w:space="0"/>
              <w:right w:val="single" w:color="000000" w:sz="4" w:space="0"/>
            </w:tcBorders>
            <w:shd w:val="clear"/>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5131" w:type="dxa"/>
            <w:gridSpan w:val="4"/>
            <w:tcBorders>
              <w:top w:val="single" w:color="000000" w:sz="4" w:space="0"/>
              <w:left w:val="nil"/>
              <w:bottom w:val="single" w:color="000000" w:sz="4" w:space="0"/>
              <w:right w:val="single" w:color="000000" w:sz="4" w:space="0"/>
            </w:tcBorders>
            <w:shd w:val="clear"/>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5131" w:type="dxa"/>
            <w:gridSpan w:val="4"/>
            <w:tcBorders>
              <w:top w:val="single" w:color="000000" w:sz="4" w:space="0"/>
              <w:left w:val="nil"/>
              <w:bottom w:val="single" w:color="000000" w:sz="4" w:space="0"/>
              <w:right w:val="single" w:color="000000" w:sz="4" w:space="0"/>
            </w:tcBorders>
            <w:shd w:val="clear"/>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4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317"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3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4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1701" w:type="dxa"/>
            <w:gridSpan w:val="2"/>
            <w:tcBorders>
              <w:top w:val="single" w:color="000000" w:sz="4" w:space="0"/>
              <w:left w:val="single" w:color="000000" w:sz="4" w:space="0"/>
              <w:bottom w:val="single" w:color="000000" w:sz="4" w:space="0"/>
              <w:right w:val="single" w:color="000000" w:sz="4" w:space="0"/>
            </w:tcBorders>
            <w:shd w:val="clear"/>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4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RVV2*0.75mm²电源线</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：300/500V，测试电压</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：2000V/5min（绝缘耐压），绝缘电阻</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：-30℃至+70℃（固定安装）阻燃性能</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：≥6倍电缆外径（无铠装），</w:t>
            </w:r>
            <w:r>
              <w:rPr>
                <w:rFonts w:hint="eastAsia" w:ascii="宋体" w:hAnsi="宋体" w:eastAsia="宋体" w:cs="宋体"/>
                <w:i w:val="0"/>
                <w:iCs w:val="0"/>
                <w:color w:val="FF0000"/>
                <w:kern w:val="0"/>
                <w:sz w:val="24"/>
                <w:szCs w:val="24"/>
                <w:u w:val="none"/>
                <w:bdr w:val="none" w:color="auto" w:sz="0" w:space="0"/>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55C00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2450" w:type="dxa"/>
            <w:tcBorders>
              <w:top w:val="single" w:color="000000" w:sz="4" w:space="0"/>
              <w:left w:val="single" w:color="000000" w:sz="4" w:space="0"/>
              <w:bottom w:val="single" w:color="000000" w:sz="4" w:space="0"/>
              <w:right w:val="single" w:color="000000" w:sz="4" w:space="0"/>
            </w:tcBorders>
            <w:shd w:val="clear"/>
            <w:noWrap/>
            <w:vAlign w:val="center"/>
          </w:tcPr>
          <w:p w14:paraId="5334C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天诚、一舟，爱谱华顿、帝一、大唐电信</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14:paraId="148ACA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vAlign w:val="center"/>
          </w:tcPr>
          <w:p w14:paraId="72CCBE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vAlign w:val="center"/>
          </w:tcPr>
          <w:p w14:paraId="41A852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RVV2*1.0mm²电源线</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：300/500V，测试电压</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：2000V/5min（绝缘耐压），绝缘电阻</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：-30℃至+70℃（固定安装）阻燃性能</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：≥6倍电缆外径（无铠装），</w:t>
            </w:r>
            <w:r>
              <w:rPr>
                <w:rFonts w:hint="eastAsia" w:ascii="宋体" w:hAnsi="宋体" w:eastAsia="宋体" w:cs="宋体"/>
                <w:i w:val="0"/>
                <w:iCs w:val="0"/>
                <w:color w:val="FF0000"/>
                <w:kern w:val="0"/>
                <w:sz w:val="24"/>
                <w:szCs w:val="24"/>
                <w:u w:val="none"/>
                <w:bdr w:val="none" w:color="auto" w:sz="0" w:space="0"/>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201FEF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2450" w:type="dxa"/>
            <w:tcBorders>
              <w:top w:val="single" w:color="000000" w:sz="4" w:space="0"/>
              <w:left w:val="single" w:color="000000" w:sz="4" w:space="0"/>
              <w:bottom w:val="single" w:color="000000" w:sz="4" w:space="0"/>
              <w:right w:val="single" w:color="000000" w:sz="4" w:space="0"/>
            </w:tcBorders>
            <w:shd w:val="clear"/>
            <w:noWrap/>
            <w:vAlign w:val="center"/>
          </w:tcPr>
          <w:p w14:paraId="5A5F8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天诚、一舟，爱谱华顿、帝一、大唐电信</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14:paraId="34460F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vAlign w:val="center"/>
          </w:tcPr>
          <w:p w14:paraId="3C0DAC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vAlign w:val="center"/>
          </w:tcPr>
          <w:p w14:paraId="102DD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vAlign w:val="center"/>
          </w:tcPr>
          <w:p w14:paraId="3BBBD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vAlign w:val="center"/>
          </w:tcPr>
          <w:p w14:paraId="1395B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RVV2*2.5mm²电源线</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5A8B7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：300/500V，测试电压</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：2000V/5min（绝缘耐压），绝缘电阻</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：-30℃至+70℃（固定安装）阻燃性能</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：≥6倍电缆外径（无铠装），</w:t>
            </w:r>
            <w:r>
              <w:rPr>
                <w:rFonts w:hint="eastAsia" w:ascii="宋体" w:hAnsi="宋体" w:eastAsia="宋体" w:cs="宋体"/>
                <w:i w:val="0"/>
                <w:iCs w:val="0"/>
                <w:color w:val="FF0000"/>
                <w:kern w:val="0"/>
                <w:sz w:val="24"/>
                <w:szCs w:val="24"/>
                <w:u w:val="none"/>
                <w:bdr w:val="none" w:color="auto" w:sz="0" w:space="0"/>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788FB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3B1AF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2450" w:type="dxa"/>
            <w:tcBorders>
              <w:top w:val="single" w:color="000000" w:sz="4" w:space="0"/>
              <w:left w:val="single" w:color="000000" w:sz="4" w:space="0"/>
              <w:bottom w:val="single" w:color="000000" w:sz="4" w:space="0"/>
              <w:right w:val="single" w:color="000000" w:sz="4" w:space="0"/>
            </w:tcBorders>
            <w:shd w:val="clear"/>
            <w:noWrap/>
            <w:vAlign w:val="center"/>
          </w:tcPr>
          <w:p w14:paraId="486E8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天诚、一舟，爱谱华顿、帝一、大唐电信</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14:paraId="2F0EE1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vAlign w:val="center"/>
          </w:tcPr>
          <w:p w14:paraId="2A28BF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vAlign w:val="center"/>
          </w:tcPr>
          <w:p w14:paraId="58B092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32F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vAlign w:val="center"/>
          </w:tcPr>
          <w:p w14:paraId="14C001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vAlign w:val="center"/>
          </w:tcPr>
          <w:p w14:paraId="50660A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4芯光纤</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3503E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4芯单模光纤的常用波长主要有1310nm和1550nm</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12。衰减系数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在1550nm波段，4芯单模光纤的衰减系数通常小于或等于0.36dB/km</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截止波长4芯单模光纤的截止波长通常小于或等于1260nm</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2。光纤规格</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4芯单模光纤的规格包括内径为9μm、外径为125μm</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1。此外，光纤的规格还包括50/125和62.5/125两种</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0455D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0E783B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2450" w:type="dxa"/>
            <w:tcBorders>
              <w:top w:val="single" w:color="000000" w:sz="4" w:space="0"/>
              <w:left w:val="single" w:color="000000" w:sz="4" w:space="0"/>
              <w:bottom w:val="single" w:color="000000" w:sz="4" w:space="0"/>
              <w:right w:val="single" w:color="000000" w:sz="4" w:space="0"/>
            </w:tcBorders>
            <w:shd w:val="clear"/>
            <w:noWrap/>
            <w:vAlign w:val="center"/>
          </w:tcPr>
          <w:p w14:paraId="4F06B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天诚、一舟，爱谱华顿、帝一、大唐电信</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14:paraId="47B4A3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vAlign w:val="center"/>
          </w:tcPr>
          <w:p w14:paraId="18CF74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vAlign w:val="center"/>
          </w:tcPr>
          <w:p w14:paraId="5E3FAE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01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vAlign w:val="center"/>
          </w:tcPr>
          <w:p w14:paraId="52B74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vAlign w:val="center"/>
          </w:tcPr>
          <w:p w14:paraId="49462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超五类室外防水</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63DA2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导体</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：采用24AWG铜固线，线径为0.51mm</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绝缘材质</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：聚乙烯（PE）</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电缆芯</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：每根电缆芯包含4对双绞线，线对的颜色为白橙、橙、白绿、绿、白蓝、蓝、白棕和棕</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保护套</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：阻燃PVC材料</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传输性能</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：传输带宽为100MHz，传输速率可达1Gbps（1000Mbps）</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防水性能</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：具有防水功能，适用于室外环境</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标准长度</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：每卷长度为305米，连包装重量不低于11公斤，</w:t>
            </w:r>
            <w:r>
              <w:rPr>
                <w:rFonts w:hint="eastAsia" w:ascii="宋体" w:hAnsi="宋体" w:eastAsia="宋体" w:cs="宋体"/>
                <w:i w:val="0"/>
                <w:iCs w:val="0"/>
                <w:color w:val="FF0000"/>
                <w:kern w:val="0"/>
                <w:sz w:val="24"/>
                <w:szCs w:val="24"/>
                <w:u w:val="none"/>
                <w:bdr w:val="none" w:color="auto" w:sz="0" w:space="0"/>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04782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305CE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50" w:type="dxa"/>
            <w:tcBorders>
              <w:top w:val="single" w:color="000000" w:sz="4" w:space="0"/>
              <w:left w:val="single" w:color="000000" w:sz="4" w:space="0"/>
              <w:bottom w:val="single" w:color="000000" w:sz="4" w:space="0"/>
              <w:right w:val="single" w:color="000000" w:sz="4" w:space="0"/>
            </w:tcBorders>
            <w:shd w:val="clear"/>
            <w:noWrap/>
            <w:vAlign w:val="center"/>
          </w:tcPr>
          <w:p w14:paraId="6DAE2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天诚、一舟，爱谱华顿、帝一、大唐电信</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14:paraId="107754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vAlign w:val="center"/>
          </w:tcPr>
          <w:p w14:paraId="19D922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vAlign w:val="center"/>
          </w:tcPr>
          <w:p w14:paraId="682323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275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vAlign w:val="center"/>
          </w:tcPr>
          <w:p w14:paraId="7544E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vAlign w:val="center"/>
          </w:tcPr>
          <w:p w14:paraId="25B98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室内超六类室内</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3AFC7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超六类网线万兆双屏蔽网线 CAT8铜箱线CAT6A/CAT7双绞线 网络POE监控工程家装箱线网络连接线 6类千兆非屏蔽，每卷长度为305米，</w:t>
            </w:r>
            <w:r>
              <w:rPr>
                <w:rFonts w:hint="eastAsia" w:ascii="宋体" w:hAnsi="宋体" w:eastAsia="宋体" w:cs="宋体"/>
                <w:i w:val="0"/>
                <w:iCs w:val="0"/>
                <w:color w:val="FF0000"/>
                <w:kern w:val="0"/>
                <w:sz w:val="24"/>
                <w:szCs w:val="24"/>
                <w:u w:val="none"/>
                <w:bdr w:val="none" w:color="auto" w:sz="0" w:space="0"/>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5A00D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5E447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noWrap/>
            <w:vAlign w:val="center"/>
          </w:tcPr>
          <w:p w14:paraId="36C4F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天诚、一舟，爱谱华顿、帝一、大唐电信</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14:paraId="4DBB9C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vAlign w:val="center"/>
          </w:tcPr>
          <w:p w14:paraId="76C711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vAlign w:val="center"/>
          </w:tcPr>
          <w:p w14:paraId="06F30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525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9" w:type="dxa"/>
            <w:tcBorders>
              <w:top w:val="single" w:color="000000" w:sz="4" w:space="0"/>
              <w:left w:val="single" w:color="000000" w:sz="4" w:space="0"/>
              <w:bottom w:val="single" w:color="000000" w:sz="4" w:space="0"/>
              <w:right w:val="single" w:color="000000" w:sz="4" w:space="0"/>
            </w:tcBorders>
            <w:shd w:val="clear"/>
            <w:vAlign w:val="center"/>
          </w:tcPr>
          <w:p w14:paraId="5D988A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556" w:type="dxa"/>
            <w:gridSpan w:val="8"/>
            <w:tcBorders>
              <w:top w:val="single" w:color="000000" w:sz="4" w:space="0"/>
              <w:left w:val="single" w:color="000000" w:sz="4" w:space="0"/>
              <w:bottom w:val="single" w:color="000000" w:sz="4" w:space="0"/>
              <w:right w:val="single" w:color="000000" w:sz="4" w:space="0"/>
            </w:tcBorders>
            <w:shd w:val="clear"/>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67A7DA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131" w:type="dxa"/>
            <w:gridSpan w:val="4"/>
            <w:tcBorders>
              <w:top w:val="single" w:color="000000" w:sz="4" w:space="0"/>
              <w:left w:val="single" w:color="000000" w:sz="4" w:space="0"/>
              <w:bottom w:val="single" w:color="000000" w:sz="4" w:space="0"/>
              <w:right w:val="single" w:color="000000" w:sz="4" w:space="0"/>
            </w:tcBorders>
            <w:shd w:val="clear"/>
            <w:vAlign w:val="center"/>
          </w:tcPr>
          <w:p w14:paraId="1EF1C9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3年</w:t>
            </w:r>
          </w:p>
        </w:tc>
        <w:tc>
          <w:tcPr>
            <w:tcW w:w="2700" w:type="dxa"/>
            <w:gridSpan w:val="2"/>
            <w:tcBorders>
              <w:top w:val="single" w:color="000000" w:sz="4" w:space="0"/>
              <w:left w:val="single" w:color="000000" w:sz="4" w:space="0"/>
              <w:bottom w:val="single" w:color="000000" w:sz="4" w:space="0"/>
              <w:right w:val="single" w:color="000000" w:sz="4" w:space="0"/>
            </w:tcBorders>
            <w:shd w:val="clear"/>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131" w:type="dxa"/>
            <w:gridSpan w:val="4"/>
            <w:tcBorders>
              <w:top w:val="single" w:color="000000" w:sz="4" w:space="0"/>
              <w:left w:val="single" w:color="000000" w:sz="4" w:space="0"/>
              <w:bottom w:val="single" w:color="000000" w:sz="4" w:space="0"/>
              <w:right w:val="single" w:color="000000" w:sz="4" w:space="0"/>
            </w:tcBorders>
            <w:shd w:val="clear"/>
            <w:vAlign w:val="center"/>
          </w:tcPr>
          <w:p w14:paraId="326981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049" w:type="dxa"/>
            <w:tcBorders>
              <w:top w:val="single" w:color="000000" w:sz="4" w:space="0"/>
              <w:left w:val="single" w:color="000000" w:sz="4" w:space="0"/>
              <w:bottom w:val="single" w:color="000000" w:sz="4" w:space="0"/>
              <w:right w:val="single" w:color="000000" w:sz="4" w:space="0"/>
            </w:tcBorders>
            <w:shd w:val="clear"/>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2700" w:type="dxa"/>
            <w:gridSpan w:val="2"/>
            <w:tcBorders>
              <w:top w:val="single" w:color="000000" w:sz="4" w:space="0"/>
              <w:left w:val="single" w:color="000000" w:sz="4" w:space="0"/>
              <w:bottom w:val="single" w:color="000000" w:sz="4" w:space="0"/>
              <w:right w:val="single" w:color="000000" w:sz="4" w:space="0"/>
            </w:tcBorders>
            <w:shd w:val="clear"/>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131" w:type="dxa"/>
            <w:gridSpan w:val="4"/>
            <w:tcBorders>
              <w:top w:val="single" w:color="000000" w:sz="4" w:space="0"/>
              <w:left w:val="single" w:color="000000" w:sz="4" w:space="0"/>
              <w:bottom w:val="single" w:color="000000" w:sz="4" w:space="0"/>
              <w:right w:val="single" w:color="000000" w:sz="4" w:space="0"/>
            </w:tcBorders>
            <w:shd w:val="clear"/>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合同签订后个7日内支付30%预付款，货到验收合格后2个月内付清其余的货款</w:t>
            </w:r>
          </w:p>
        </w:tc>
      </w:tr>
    </w:tbl>
    <w:p w14:paraId="43BCBA54">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1、付款条件:合同签订后个7日内支付30%预付款，货到验收合格后2</w:t>
      </w:r>
      <w:bookmarkStart w:id="0" w:name="_GoBack"/>
      <w:bookmarkEnd w:id="0"/>
      <w:r>
        <w:rPr>
          <w:rFonts w:hint="eastAsia" w:ascii="仿宋" w:hAnsi="仿宋" w:eastAsia="仿宋" w:cs="仿宋"/>
          <w:color w:val="auto"/>
          <w:sz w:val="24"/>
          <w:szCs w:val="24"/>
          <w:highlight w:val="none"/>
          <w:lang w:val="en-US" w:eastAsia="zh-CN"/>
        </w:rPr>
        <w:t>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4393</Words>
  <Characters>4605</Characters>
  <Lines>0</Lines>
  <Paragraphs>0</Paragraphs>
  <TotalTime>11</TotalTime>
  <ScaleCrop>false</ScaleCrop>
  <LinksUpToDate>false</LinksUpToDate>
  <CharactersWithSpaces>5334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2025-12-10T07:49:06Z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30C42AAEB35A4AA6ACC317F5B44AE125_13</vt:lpwstr>
  </property>
  <property fmtid="{D5CDD505-2E9C-101B-9397-08002B2CF9AE}" pid="4" name="KSOTemplateDocerSaveRecord">
    <vt:lpwstr>eyJoZGlkIjoiYjY0ZTAzOGFkMDVjYTAyNGRiZmEzMWIyNTAyNzgyNTIiLCJ1c2VySWQiOiI2OTk3Mjg4NzkifQ==</vt:lpwstr>
  </property>
</Properties>
</file>